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56DF" w14:textId="77777777" w:rsidR="00095077" w:rsidRPr="00095077" w:rsidRDefault="00095077" w:rsidP="00B85FA1">
      <w:pPr>
        <w:spacing w:after="120" w:line="360" w:lineRule="auto"/>
        <w:jc w:val="center"/>
        <w:rPr>
          <w:rFonts w:cstheme="minorHAnsi"/>
          <w:b/>
          <w:sz w:val="16"/>
          <w:szCs w:val="16"/>
        </w:rPr>
      </w:pPr>
    </w:p>
    <w:p w14:paraId="7A0EA89A" w14:textId="22048198" w:rsidR="00E803E5" w:rsidRPr="0012085F" w:rsidRDefault="00E803E5" w:rsidP="00B85FA1">
      <w:pPr>
        <w:spacing w:after="120" w:line="360" w:lineRule="auto"/>
        <w:jc w:val="center"/>
        <w:rPr>
          <w:rFonts w:cstheme="minorHAnsi"/>
          <w:b/>
          <w:sz w:val="36"/>
          <w:szCs w:val="36"/>
        </w:rPr>
      </w:pPr>
      <w:r w:rsidRPr="0012085F">
        <w:rPr>
          <w:rFonts w:cstheme="minorHAnsi"/>
          <w:b/>
          <w:sz w:val="36"/>
          <w:szCs w:val="36"/>
        </w:rPr>
        <w:t>201</w:t>
      </w:r>
      <w:r w:rsidR="00FD55E8" w:rsidRPr="0012085F">
        <w:rPr>
          <w:rFonts w:cstheme="minorHAnsi"/>
          <w:b/>
          <w:sz w:val="36"/>
          <w:szCs w:val="36"/>
        </w:rPr>
        <w:t>8</w:t>
      </w:r>
      <w:r w:rsidRPr="0012085F">
        <w:rPr>
          <w:rFonts w:cstheme="minorHAnsi"/>
          <w:b/>
          <w:sz w:val="36"/>
          <w:szCs w:val="36"/>
        </w:rPr>
        <w:t xml:space="preserve"> Oil </w:t>
      </w:r>
      <w:r w:rsidR="00BF7536" w:rsidRPr="0012085F">
        <w:rPr>
          <w:rFonts w:cstheme="minorHAnsi"/>
          <w:b/>
          <w:sz w:val="36"/>
          <w:szCs w:val="36"/>
        </w:rPr>
        <w:t>Tanker</w:t>
      </w:r>
      <w:r w:rsidR="00BF7536" w:rsidRPr="0012085F">
        <w:rPr>
          <w:rFonts w:cstheme="minorHAnsi"/>
          <w:b/>
          <w:sz w:val="36"/>
          <w:szCs w:val="36"/>
        </w:rPr>
        <w:t xml:space="preserve"> </w:t>
      </w:r>
      <w:r w:rsidRPr="0012085F">
        <w:rPr>
          <w:rFonts w:cstheme="minorHAnsi"/>
          <w:b/>
          <w:sz w:val="36"/>
          <w:szCs w:val="36"/>
        </w:rPr>
        <w:t>Spill Stati</w:t>
      </w:r>
      <w:bookmarkStart w:id="0" w:name="_GoBack"/>
      <w:bookmarkEnd w:id="0"/>
      <w:r w:rsidRPr="0012085F">
        <w:rPr>
          <w:rFonts w:cstheme="minorHAnsi"/>
          <w:b/>
          <w:sz w:val="36"/>
          <w:szCs w:val="36"/>
        </w:rPr>
        <w:t xml:space="preserve">stics: </w:t>
      </w:r>
      <w:r w:rsidR="00B85FA1" w:rsidRPr="0012085F">
        <w:rPr>
          <w:rFonts w:cstheme="minorHAnsi"/>
          <w:b/>
          <w:sz w:val="36"/>
          <w:szCs w:val="36"/>
        </w:rPr>
        <w:t>Number of spills remains low</w:t>
      </w:r>
    </w:p>
    <w:p w14:paraId="399366FF" w14:textId="6E15C9A4" w:rsidR="00B85FA1" w:rsidRDefault="00B85FA1" w:rsidP="0012085F">
      <w:pPr>
        <w:spacing w:line="360" w:lineRule="auto"/>
        <w:jc w:val="both"/>
        <w:rPr>
          <w:rFonts w:cstheme="minorHAnsi"/>
        </w:rPr>
      </w:pPr>
      <w:r>
        <w:rPr>
          <w:rFonts w:cstheme="minorHAnsi"/>
        </w:rPr>
        <w:t>For close to five decades, the frequency of oil spills from tankers has shown a progressive downward trend</w:t>
      </w:r>
      <w:r w:rsidRPr="00B83DE0">
        <w:rPr>
          <w:rFonts w:cstheme="minorHAnsi"/>
        </w:rPr>
        <w:t xml:space="preserve">. The average number of spills </w:t>
      </w:r>
      <w:r>
        <w:rPr>
          <w:rFonts w:cstheme="minorHAnsi"/>
        </w:rPr>
        <w:t xml:space="preserve">of </w:t>
      </w:r>
      <w:r w:rsidRPr="00B83DE0">
        <w:rPr>
          <w:rFonts w:cstheme="minorHAnsi"/>
        </w:rPr>
        <w:t>7 tonnes</w:t>
      </w:r>
      <w:r>
        <w:rPr>
          <w:rFonts w:cstheme="minorHAnsi"/>
        </w:rPr>
        <w:t xml:space="preserve"> or more is now about six per year, from a high of 79 in the 1970s.</w:t>
      </w:r>
      <w:r w:rsidRPr="00B83DE0">
        <w:rPr>
          <w:rFonts w:cstheme="minorHAnsi"/>
        </w:rPr>
        <w:t xml:space="preserve"> </w:t>
      </w:r>
      <w:r>
        <w:rPr>
          <w:rFonts w:cstheme="minorHAnsi"/>
        </w:rPr>
        <w:t>The yearly average for l</w:t>
      </w:r>
      <w:r w:rsidRPr="00B83DE0">
        <w:rPr>
          <w:rFonts w:cstheme="minorHAnsi"/>
        </w:rPr>
        <w:t xml:space="preserve">arge spills, i.e. greater than 700 tonnes, </w:t>
      </w:r>
      <w:r>
        <w:rPr>
          <w:rFonts w:cstheme="minorHAnsi"/>
        </w:rPr>
        <w:t>has also reduced from around 25</w:t>
      </w:r>
      <w:r w:rsidRPr="00B83DE0">
        <w:rPr>
          <w:rFonts w:cstheme="minorHAnsi"/>
        </w:rPr>
        <w:t xml:space="preserve"> in the 1970s</w:t>
      </w:r>
      <w:r>
        <w:rPr>
          <w:rFonts w:cstheme="minorHAnsi"/>
        </w:rPr>
        <w:t xml:space="preserve"> to less than two </w:t>
      </w:r>
      <w:r w:rsidRPr="00B83DE0">
        <w:rPr>
          <w:rFonts w:cstheme="minorHAnsi"/>
        </w:rPr>
        <w:t>since 2010.</w:t>
      </w:r>
    </w:p>
    <w:p w14:paraId="54E5787D" w14:textId="77777777" w:rsidR="00B85FA1" w:rsidRDefault="00B85FA1" w:rsidP="00B85FA1">
      <w:pPr>
        <w:spacing w:line="240" w:lineRule="auto"/>
        <w:jc w:val="both"/>
        <w:rPr>
          <w:rFonts w:cstheme="minorHAnsi"/>
        </w:rPr>
      </w:pPr>
    </w:p>
    <w:p w14:paraId="0A9F8F62" w14:textId="024C3126" w:rsidR="00B85FA1" w:rsidRPr="00D17D90" w:rsidRDefault="00B85FA1" w:rsidP="00B85FA1">
      <w:pPr>
        <w:spacing w:line="360" w:lineRule="auto"/>
        <w:jc w:val="both"/>
        <w:rPr>
          <w:rFonts w:cstheme="minorHAnsi"/>
          <w:i/>
          <w:sz w:val="18"/>
          <w:szCs w:val="18"/>
        </w:rPr>
      </w:pPr>
      <w:r>
        <w:rPr>
          <w:noProof/>
        </w:rPr>
        <w:drawing>
          <wp:inline distT="0" distB="0" distL="0" distR="0" wp14:anchorId="2AA0FC27" wp14:editId="7CF620EE">
            <wp:extent cx="5699844" cy="3771900"/>
            <wp:effectExtent l="19050" t="19050" r="1524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1096" cy="3772729"/>
                    </a:xfrm>
                    <a:prstGeom prst="rect">
                      <a:avLst/>
                    </a:prstGeom>
                    <a:ln>
                      <a:solidFill>
                        <a:sysClr val="window" lastClr="FFFFFF">
                          <a:lumMod val="85000"/>
                        </a:sysClr>
                      </a:solidFill>
                    </a:ln>
                  </pic:spPr>
                </pic:pic>
              </a:graphicData>
            </a:graphic>
          </wp:inline>
        </w:drawing>
      </w:r>
      <w:bookmarkStart w:id="1" w:name="_Hlk534799332"/>
      <w:r w:rsidRPr="00E42F15">
        <w:rPr>
          <w:rFonts w:cstheme="minorHAnsi"/>
          <w:i/>
          <w:color w:val="7F7F7F" w:themeColor="text1" w:themeTint="80"/>
          <w:sz w:val="18"/>
          <w:szCs w:val="18"/>
        </w:rPr>
        <w:t>Number of large (&gt;700 tonnes) and medium (7-700 tonnes) spills recorded from 1970 to 201</w:t>
      </w:r>
      <w:r>
        <w:rPr>
          <w:rFonts w:cstheme="minorHAnsi"/>
          <w:i/>
          <w:color w:val="7F7F7F" w:themeColor="text1" w:themeTint="80"/>
          <w:sz w:val="18"/>
          <w:szCs w:val="18"/>
        </w:rPr>
        <w:t>8</w:t>
      </w:r>
      <w:bookmarkEnd w:id="1"/>
    </w:p>
    <w:p w14:paraId="264C5674" w14:textId="7F0370F8" w:rsidR="00B85FA1" w:rsidRDefault="00B85FA1" w:rsidP="0012085F">
      <w:pPr>
        <w:spacing w:line="360" w:lineRule="auto"/>
        <w:jc w:val="both"/>
        <w:rPr>
          <w:rFonts w:cstheme="minorHAnsi"/>
        </w:rPr>
      </w:pPr>
      <w:r>
        <w:rPr>
          <w:rFonts w:cstheme="minorHAnsi"/>
        </w:rPr>
        <w:t>S</w:t>
      </w:r>
      <w:r w:rsidRPr="00D17D90">
        <w:rPr>
          <w:rFonts w:cstheme="minorHAnsi"/>
        </w:rPr>
        <w:t xml:space="preserve">tatistics for </w:t>
      </w:r>
      <w:r>
        <w:rPr>
          <w:rFonts w:cstheme="minorHAnsi"/>
        </w:rPr>
        <w:t xml:space="preserve">the </w:t>
      </w:r>
      <w:r w:rsidRPr="00D17D90">
        <w:rPr>
          <w:rFonts w:cstheme="minorHAnsi"/>
        </w:rPr>
        <w:t>quantity of oil spilled</w:t>
      </w:r>
      <w:r>
        <w:rPr>
          <w:rFonts w:cstheme="minorHAnsi"/>
        </w:rPr>
        <w:t xml:space="preserve"> show</w:t>
      </w:r>
      <w:r w:rsidRPr="00D17D90">
        <w:rPr>
          <w:rFonts w:cstheme="minorHAnsi"/>
        </w:rPr>
        <w:t xml:space="preserve"> a similar trend</w:t>
      </w:r>
      <w:r>
        <w:rPr>
          <w:rFonts w:cstheme="minorHAnsi"/>
        </w:rPr>
        <w:t>.</w:t>
      </w:r>
      <w:r w:rsidRPr="00D17D90">
        <w:rPr>
          <w:rFonts w:cstheme="minorHAnsi"/>
        </w:rPr>
        <w:t xml:space="preserve"> </w:t>
      </w:r>
      <w:r>
        <w:rPr>
          <w:rFonts w:cstheme="minorHAnsi"/>
        </w:rPr>
        <w:t xml:space="preserve"> However, this trend can be </w:t>
      </w:r>
      <w:r w:rsidRPr="00D17D90">
        <w:rPr>
          <w:rFonts w:cstheme="minorHAnsi"/>
        </w:rPr>
        <w:t xml:space="preserve">distorted by a single large spill as shown in </w:t>
      </w:r>
      <w:r>
        <w:rPr>
          <w:rFonts w:cstheme="minorHAnsi"/>
        </w:rPr>
        <w:t xml:space="preserve">the </w:t>
      </w:r>
      <w:r w:rsidRPr="00D17D90">
        <w:rPr>
          <w:rFonts w:cstheme="minorHAnsi"/>
        </w:rPr>
        <w:t>figure below.</w:t>
      </w:r>
    </w:p>
    <w:p w14:paraId="79B75F45" w14:textId="2DB2C640" w:rsidR="00B85FA1" w:rsidRDefault="00B85FA1" w:rsidP="00B85FA1">
      <w:pPr>
        <w:spacing w:line="360" w:lineRule="auto"/>
        <w:jc w:val="both"/>
        <w:rPr>
          <w:rFonts w:cstheme="minorHAnsi"/>
          <w:i/>
          <w:color w:val="7F7F7F" w:themeColor="text1" w:themeTint="80"/>
          <w:sz w:val="18"/>
          <w:szCs w:val="18"/>
        </w:rPr>
      </w:pPr>
      <w:r w:rsidRPr="00B3364D">
        <w:rPr>
          <w:noProof/>
        </w:rPr>
        <w:lastRenderedPageBreak/>
        <w:drawing>
          <wp:inline distT="0" distB="0" distL="0" distR="0" wp14:anchorId="1DAA1AB1" wp14:editId="21CEBBF7">
            <wp:extent cx="5705475" cy="3715385"/>
            <wp:effectExtent l="19050" t="19050" r="2857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54"/>
                    <a:stretch/>
                  </pic:blipFill>
                  <pic:spPr bwMode="auto">
                    <a:xfrm>
                      <a:off x="0" y="0"/>
                      <a:ext cx="5705475" cy="371538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r>
        <w:rPr>
          <w:rFonts w:cstheme="minorHAnsi"/>
          <w:i/>
          <w:color w:val="7F7F7F" w:themeColor="text1" w:themeTint="80"/>
          <w:sz w:val="18"/>
          <w:szCs w:val="18"/>
        </w:rPr>
        <w:t>Estimated quantities of oil spilled 7 tonnes and over</w:t>
      </w:r>
      <w:r w:rsidRPr="00E42F15">
        <w:rPr>
          <w:rFonts w:cstheme="minorHAnsi"/>
          <w:i/>
          <w:color w:val="7F7F7F" w:themeColor="text1" w:themeTint="80"/>
          <w:sz w:val="18"/>
          <w:szCs w:val="18"/>
        </w:rPr>
        <w:t xml:space="preserve"> (</w:t>
      </w:r>
      <w:r>
        <w:rPr>
          <w:rFonts w:cstheme="minorHAnsi"/>
          <w:i/>
          <w:color w:val="7F7F7F" w:themeColor="text1" w:themeTint="80"/>
          <w:sz w:val="18"/>
          <w:szCs w:val="18"/>
        </w:rPr>
        <w:t>rounded to nearest thousand)</w:t>
      </w:r>
      <w:r w:rsidRPr="00E42F15">
        <w:rPr>
          <w:rFonts w:cstheme="minorHAnsi"/>
          <w:i/>
          <w:color w:val="7F7F7F" w:themeColor="text1" w:themeTint="80"/>
          <w:sz w:val="18"/>
          <w:szCs w:val="18"/>
        </w:rPr>
        <w:t xml:space="preserve"> 1970 to 201</w:t>
      </w:r>
      <w:r>
        <w:rPr>
          <w:rFonts w:cstheme="minorHAnsi"/>
          <w:i/>
          <w:color w:val="7F7F7F" w:themeColor="text1" w:themeTint="80"/>
          <w:sz w:val="18"/>
          <w:szCs w:val="18"/>
        </w:rPr>
        <w:t>8</w:t>
      </w:r>
    </w:p>
    <w:p w14:paraId="3E6C5D97" w14:textId="77777777" w:rsidR="0012085F" w:rsidRPr="00D17D90" w:rsidRDefault="0012085F" w:rsidP="00B85FA1">
      <w:pPr>
        <w:spacing w:line="360" w:lineRule="auto"/>
        <w:jc w:val="both"/>
        <w:rPr>
          <w:rFonts w:cstheme="minorHAnsi"/>
          <w:i/>
          <w:sz w:val="18"/>
          <w:szCs w:val="18"/>
        </w:rPr>
      </w:pPr>
    </w:p>
    <w:p w14:paraId="0ACECA76" w14:textId="77777777" w:rsidR="00B85FA1" w:rsidRDefault="00B85FA1" w:rsidP="0012085F">
      <w:pPr>
        <w:spacing w:line="360" w:lineRule="auto"/>
        <w:jc w:val="both"/>
        <w:rPr>
          <w:rFonts w:cstheme="minorHAnsi"/>
        </w:rPr>
      </w:pPr>
      <w:r w:rsidRPr="00B83DE0">
        <w:rPr>
          <w:rFonts w:cstheme="minorHAnsi"/>
        </w:rPr>
        <w:t>In 201</w:t>
      </w:r>
      <w:r>
        <w:rPr>
          <w:rFonts w:cstheme="minorHAnsi"/>
        </w:rPr>
        <w:t>8</w:t>
      </w:r>
      <w:r w:rsidRPr="00B83DE0">
        <w:rPr>
          <w:rFonts w:cstheme="minorHAnsi"/>
        </w:rPr>
        <w:t xml:space="preserve">, </w:t>
      </w:r>
      <w:r w:rsidRPr="00362223">
        <w:rPr>
          <w:rFonts w:cstheme="minorHAnsi"/>
        </w:rPr>
        <w:t xml:space="preserve">three </w:t>
      </w:r>
      <w:r>
        <w:rPr>
          <w:rFonts w:cstheme="minorHAnsi"/>
        </w:rPr>
        <w:t>spills of over 700 tonnes were reported. ITOPF attended two of these incidents</w:t>
      </w:r>
      <w:r w:rsidRPr="004C3734">
        <w:rPr>
          <w:rFonts w:cstheme="minorHAnsi"/>
        </w:rPr>
        <w:t xml:space="preserve"> </w:t>
      </w:r>
      <w:r>
        <w:rPr>
          <w:rFonts w:cstheme="minorHAnsi"/>
        </w:rPr>
        <w:t>to provide technical advice, both in East Asia. T</w:t>
      </w:r>
      <w:r w:rsidRPr="00362223">
        <w:rPr>
          <w:rFonts w:cstheme="minorHAnsi"/>
        </w:rPr>
        <w:t>hree medium spills (7–700 tonnes</w:t>
      </w:r>
      <w:r>
        <w:rPr>
          <w:rFonts w:cstheme="minorHAnsi"/>
        </w:rPr>
        <w:t>)</w:t>
      </w:r>
      <w:r w:rsidRPr="00362223">
        <w:rPr>
          <w:rFonts w:cstheme="minorHAnsi"/>
        </w:rPr>
        <w:t xml:space="preserve"> </w:t>
      </w:r>
      <w:r>
        <w:rPr>
          <w:rFonts w:cstheme="minorHAnsi"/>
        </w:rPr>
        <w:t>were also reported.</w:t>
      </w:r>
    </w:p>
    <w:p w14:paraId="3A39D607" w14:textId="77777777" w:rsidR="00B85FA1" w:rsidRDefault="00B85FA1" w:rsidP="0012085F">
      <w:pPr>
        <w:spacing w:line="360" w:lineRule="auto"/>
        <w:jc w:val="both"/>
        <w:rPr>
          <w:rFonts w:cstheme="minorHAnsi"/>
        </w:rPr>
      </w:pPr>
      <w:bookmarkStart w:id="2" w:name="_Hlk534878987"/>
      <w:r w:rsidRPr="00925653">
        <w:rPr>
          <w:rFonts w:cstheme="minorHAnsi"/>
        </w:rPr>
        <w:t xml:space="preserve">The </w:t>
      </w:r>
      <w:r>
        <w:rPr>
          <w:rFonts w:cstheme="minorHAnsi"/>
        </w:rPr>
        <w:t xml:space="preserve">estimated </w:t>
      </w:r>
      <w:r w:rsidRPr="00925653">
        <w:rPr>
          <w:rFonts w:cstheme="minorHAnsi"/>
        </w:rPr>
        <w:t>total amount of oil lost to the environment through tanker incidents in 201</w:t>
      </w:r>
      <w:r>
        <w:rPr>
          <w:rFonts w:cstheme="minorHAnsi"/>
        </w:rPr>
        <w:t>8</w:t>
      </w:r>
      <w:r w:rsidRPr="00925653">
        <w:rPr>
          <w:rFonts w:cstheme="minorHAnsi"/>
        </w:rPr>
        <w:t xml:space="preserve"> was approximately </w:t>
      </w:r>
      <w:r>
        <w:rPr>
          <w:rFonts w:cstheme="minorHAnsi"/>
        </w:rPr>
        <w:t>116</w:t>
      </w:r>
      <w:r w:rsidRPr="00C54457">
        <w:rPr>
          <w:rFonts w:cstheme="minorHAnsi"/>
        </w:rPr>
        <w:t>,000</w:t>
      </w:r>
      <w:r w:rsidRPr="00925653">
        <w:rPr>
          <w:rFonts w:cstheme="minorHAnsi"/>
        </w:rPr>
        <w:t xml:space="preserve"> tonnes, the majority of which can be attributed to the</w:t>
      </w:r>
      <w:r>
        <w:rPr>
          <w:rFonts w:cstheme="minorHAnsi"/>
        </w:rPr>
        <w:t xml:space="preserve"> SANCHI incident, a spill of non-persistent oil with significantly lower environmental impacts compared to crude oil.</w:t>
      </w:r>
      <w:bookmarkEnd w:id="2"/>
    </w:p>
    <w:p w14:paraId="57D4971E" w14:textId="77777777" w:rsidR="00B85FA1" w:rsidRPr="00B83DE0" w:rsidRDefault="00B85FA1" w:rsidP="0012085F">
      <w:pPr>
        <w:spacing w:line="360" w:lineRule="auto"/>
        <w:jc w:val="both"/>
        <w:rPr>
          <w:rFonts w:cstheme="minorHAnsi"/>
        </w:rPr>
      </w:pPr>
      <w:r>
        <w:rPr>
          <w:rFonts w:cstheme="minorHAnsi"/>
        </w:rPr>
        <w:t>The number of oil spills involving tankers remains low despite a general increase in oil trading over the years and tanker owners and governments continue to work together to</w:t>
      </w:r>
      <w:r w:rsidRPr="001D74C4">
        <w:rPr>
          <w:rFonts w:cstheme="minorHAnsi"/>
        </w:rPr>
        <w:t xml:space="preserve"> improve safety</w:t>
      </w:r>
      <w:r w:rsidRPr="001D74C4">
        <w:t xml:space="preserve"> </w:t>
      </w:r>
      <w:r>
        <w:rPr>
          <w:rFonts w:cstheme="minorHAnsi"/>
        </w:rPr>
        <w:t xml:space="preserve">and </w:t>
      </w:r>
      <w:r w:rsidRPr="001D74C4">
        <w:rPr>
          <w:rFonts w:cstheme="minorHAnsi"/>
        </w:rPr>
        <w:t>standards of operations in seaborne oil transportation</w:t>
      </w:r>
      <w:r>
        <w:rPr>
          <w:rFonts w:cstheme="minorHAnsi"/>
        </w:rPr>
        <w:t>.</w:t>
      </w:r>
    </w:p>
    <w:p w14:paraId="33E08404" w14:textId="77777777" w:rsidR="00B85FA1" w:rsidRDefault="00B85FA1" w:rsidP="00B85FA1">
      <w:pPr>
        <w:spacing w:line="360" w:lineRule="auto"/>
        <w:jc w:val="both"/>
        <w:rPr>
          <w:rFonts w:cstheme="minorHAnsi"/>
        </w:rPr>
      </w:pPr>
    </w:p>
    <w:p w14:paraId="37505138" w14:textId="77777777" w:rsidR="00B85FA1" w:rsidRDefault="00B85FA1" w:rsidP="00B85FA1">
      <w:pPr>
        <w:spacing w:line="360" w:lineRule="auto"/>
        <w:jc w:val="both"/>
        <w:rPr>
          <w:rFonts w:cstheme="minorHAnsi"/>
        </w:rPr>
      </w:pPr>
    </w:p>
    <w:p w14:paraId="2B039AB1" w14:textId="7B5EE0B4" w:rsidR="00B85FA1" w:rsidRDefault="00B85FA1">
      <w:r>
        <w:br w:type="page"/>
      </w:r>
    </w:p>
    <w:p w14:paraId="01B539CC" w14:textId="1DD1B7F8" w:rsidR="00494492" w:rsidRDefault="00494492" w:rsidP="00494492">
      <w:pPr>
        <w:rPr>
          <w:rFonts w:cs="Tahoma"/>
          <w:b/>
          <w:sz w:val="28"/>
          <w:szCs w:val="28"/>
          <w:u w:val="single"/>
        </w:rPr>
      </w:pPr>
      <w:r>
        <w:rPr>
          <w:rFonts w:cs="Tahoma"/>
          <w:b/>
          <w:sz w:val="28"/>
          <w:szCs w:val="28"/>
          <w:u w:val="single"/>
        </w:rPr>
        <w:lastRenderedPageBreak/>
        <w:t>Notes for Editors</w:t>
      </w:r>
    </w:p>
    <w:p w14:paraId="38D8B1A1" w14:textId="77777777" w:rsidR="00494492" w:rsidRPr="00DB736D" w:rsidRDefault="00494492" w:rsidP="00494492">
      <w:pPr>
        <w:spacing w:line="240" w:lineRule="auto"/>
      </w:pPr>
      <w:r w:rsidRPr="00DB736D">
        <w:t>ITOPF maintains a database of oil spills from tank vessels, including combined carriers, FPSOs and barges. This contains information on accidental spillages of persistent and non-persistent oil since 1970, except those resulting from acts of war. The data held includes the location and cause of the incident, the vessel involved, the type of oil spilt and the spill amount. For historical reasons, spills are generally categorised by size, &lt;7 tonnes, 7–700 tonnes and &gt;700 tonnes (&lt;50 bbls, 50–5,000 bbls, &gt;5,000 bbls), although the actual amount spilt is also recorded. Information is now held on over 10,000 incidents, the vast majority of which fall into the smallest category i.e. &lt;7 tonnes.</w:t>
      </w:r>
    </w:p>
    <w:p w14:paraId="5AC52647" w14:textId="6B74C613" w:rsidR="00494492" w:rsidRDefault="00494492" w:rsidP="00494492">
      <w:pPr>
        <w:pStyle w:val="NormalWeb"/>
        <w:shd w:val="clear" w:color="auto" w:fill="FFFFFF"/>
        <w:spacing w:before="0" w:after="0"/>
        <w:jc w:val="both"/>
        <w:rPr>
          <w:rFonts w:ascii="Calibri" w:hAnsi="Calibri"/>
          <w:sz w:val="22"/>
          <w:szCs w:val="22"/>
        </w:rPr>
      </w:pPr>
      <w:r>
        <w:rPr>
          <w:rFonts w:ascii="Calibri" w:hAnsi="Calibri"/>
          <w:sz w:val="22"/>
          <w:szCs w:val="22"/>
        </w:rPr>
        <w:t xml:space="preserve">Further details </w:t>
      </w:r>
      <w:r w:rsidR="00555253">
        <w:rPr>
          <w:rFonts w:ascii="Calibri" w:hAnsi="Calibri"/>
          <w:sz w:val="22"/>
          <w:szCs w:val="22"/>
        </w:rPr>
        <w:t xml:space="preserve">are </w:t>
      </w:r>
      <w:r>
        <w:rPr>
          <w:rFonts w:ascii="Calibri" w:hAnsi="Calibri"/>
          <w:sz w:val="22"/>
          <w:szCs w:val="22"/>
        </w:rPr>
        <w:t xml:space="preserve">available on the </w:t>
      </w:r>
      <w:hyperlink r:id="rId10" w:history="1">
        <w:r w:rsidRPr="00AA3686">
          <w:rPr>
            <w:rStyle w:val="Hyperlink"/>
            <w:rFonts w:ascii="Calibri" w:hAnsi="Calibri"/>
            <w:sz w:val="22"/>
            <w:szCs w:val="22"/>
          </w:rPr>
          <w:t>statistics</w:t>
        </w:r>
      </w:hyperlink>
      <w:r>
        <w:rPr>
          <w:rFonts w:ascii="Calibri" w:hAnsi="Calibri"/>
          <w:sz w:val="22"/>
          <w:szCs w:val="22"/>
        </w:rPr>
        <w:t xml:space="preserve"> page of ITOPF’s website. </w:t>
      </w:r>
    </w:p>
    <w:p w14:paraId="585A5DEA" w14:textId="77777777" w:rsidR="00494492" w:rsidRDefault="00494492" w:rsidP="006D2C7B">
      <w:pPr>
        <w:rPr>
          <w:rFonts w:cs="Tahoma"/>
          <w:b/>
          <w:sz w:val="28"/>
          <w:szCs w:val="28"/>
          <w:u w:val="single"/>
        </w:rPr>
      </w:pP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744C1A74" w14:textId="6C13A13E" w:rsidR="006D2C7B" w:rsidRPr="000F2394" w:rsidRDefault="006D2C7B" w:rsidP="006D2C7B">
      <w:pPr>
        <w:spacing w:after="0" w:line="240" w:lineRule="auto"/>
        <w:jc w:val="both"/>
        <w:rPr>
          <w:rFonts w:cs="Arial"/>
        </w:rPr>
      </w:pPr>
      <w:r w:rsidRPr="000F2394">
        <w:rPr>
          <w:rFonts w:cs="Arial"/>
        </w:rPr>
        <w:t xml:space="preserve">1. </w:t>
      </w:r>
      <w:r w:rsidR="00CF41D3">
        <w:rPr>
          <w:rFonts w:cs="Arial"/>
        </w:rPr>
        <w:t>ITOPF</w:t>
      </w:r>
      <w:r w:rsidRPr="000F2394">
        <w:rPr>
          <w:rFonts w:cs="Arial"/>
        </w:rPr>
        <w:t xml:space="preserve"> was established as a non-profit making service organisation in 1968. In the early days its principal function was the administration of the TOVALOP voluntary oil spill compensation agreement. However, </w:t>
      </w:r>
      <w:r w:rsidR="00555253">
        <w:rPr>
          <w:rFonts w:cs="Arial"/>
        </w:rPr>
        <w:t>since the early 1970s,</w:t>
      </w:r>
      <w:r w:rsidRPr="000F2394">
        <w:rPr>
          <w:rFonts w:cs="Arial"/>
        </w:rPr>
        <w:t xml:space="preserve"> ITOPF has also provided a broad range of technical services in the field of marine pollution to and on behalf of shipowners, their P&amp;I insurers and other groups such as the International Oil Pollution Compensation Funds, as well as to the community at large. </w:t>
      </w:r>
    </w:p>
    <w:p w14:paraId="269FC7FB" w14:textId="77777777" w:rsidR="006D2C7B" w:rsidRPr="000F2394" w:rsidRDefault="006D2C7B" w:rsidP="006D2C7B">
      <w:pPr>
        <w:spacing w:after="0" w:line="240" w:lineRule="auto"/>
        <w:jc w:val="both"/>
        <w:rPr>
          <w:rFonts w:cs="Arial"/>
        </w:rPr>
      </w:pPr>
    </w:p>
    <w:p w14:paraId="5AC7BB21" w14:textId="16D41527" w:rsidR="006D2C7B" w:rsidRPr="000F2394" w:rsidRDefault="006D2C7B" w:rsidP="006D2C7B">
      <w:pPr>
        <w:spacing w:after="0" w:line="240" w:lineRule="auto"/>
        <w:jc w:val="both"/>
        <w:rPr>
          <w:rFonts w:cs="Arial"/>
        </w:rPr>
      </w:pPr>
      <w:r w:rsidRPr="000F2394">
        <w:rPr>
          <w:rFonts w:cs="Arial"/>
        </w:rPr>
        <w:t xml:space="preserve">2. ITOPF's </w:t>
      </w:r>
      <w:r w:rsidR="00555253">
        <w:rPr>
          <w:rFonts w:cs="Arial"/>
        </w:rPr>
        <w:t xml:space="preserve">Membership currently comprises </w:t>
      </w:r>
      <w:r w:rsidR="00CF41D3">
        <w:rPr>
          <w:rFonts w:cs="Arial"/>
        </w:rPr>
        <w:t>around 8,000</w:t>
      </w:r>
      <w:r w:rsidRPr="000F2394">
        <w:rPr>
          <w:rFonts w:cs="Arial"/>
        </w:rPr>
        <w:t xml:space="preserve"> owners and bareboat charterers of approximately 1</w:t>
      </w:r>
      <w:r w:rsidR="00CF41D3">
        <w:rPr>
          <w:rFonts w:cs="Arial"/>
        </w:rPr>
        <w:t>4</w:t>
      </w:r>
      <w:r w:rsidRPr="000F2394">
        <w:rPr>
          <w:rFonts w:cs="Arial"/>
        </w:rPr>
        <w:t>,</w:t>
      </w:r>
      <w:r w:rsidR="00CF41D3">
        <w:rPr>
          <w:rFonts w:cs="Arial"/>
        </w:rPr>
        <w:t>0</w:t>
      </w:r>
      <w:r>
        <w:rPr>
          <w:rFonts w:cs="Arial"/>
        </w:rPr>
        <w:t>0</w:t>
      </w:r>
      <w:r w:rsidRPr="000F2394">
        <w:rPr>
          <w:rFonts w:cs="Arial"/>
        </w:rPr>
        <w:t xml:space="preserve">0 tank vessels with a total gross tonnage of </w:t>
      </w:r>
      <w:r w:rsidR="00CF41D3">
        <w:rPr>
          <w:rFonts w:cs="Arial"/>
        </w:rPr>
        <w:t>over 400</w:t>
      </w:r>
      <w:r w:rsidRPr="000F2394">
        <w:rPr>
          <w:rFonts w:cs="Arial"/>
        </w:rPr>
        <w:t xml:space="preserve"> million GT.  The organisation also benefits from the participation of </w:t>
      </w:r>
      <w:r w:rsidR="0037659B">
        <w:rPr>
          <w:rFonts w:cs="Arial"/>
        </w:rPr>
        <w:t>over 800</w:t>
      </w:r>
      <w:r>
        <w:rPr>
          <w:rFonts w:cs="Arial"/>
        </w:rPr>
        <w:t xml:space="preserve"> </w:t>
      </w:r>
      <w:r w:rsidRPr="000F2394">
        <w:rPr>
          <w:rFonts w:cs="Arial"/>
        </w:rPr>
        <w:t>million GT of non-tanker tonnage owned and operated by its Associates.</w:t>
      </w:r>
    </w:p>
    <w:p w14:paraId="3B62BDC0" w14:textId="77777777" w:rsidR="006D2C7B" w:rsidRPr="000F2394" w:rsidRDefault="006D2C7B" w:rsidP="006D2C7B">
      <w:pPr>
        <w:spacing w:after="0" w:line="240" w:lineRule="auto"/>
        <w:jc w:val="both"/>
        <w:rPr>
          <w:rFonts w:cs="Arial"/>
        </w:rPr>
      </w:pPr>
    </w:p>
    <w:p w14:paraId="561643A5" w14:textId="437FDB13" w:rsidR="006D2C7B" w:rsidRPr="000F2394" w:rsidRDefault="006D2C7B" w:rsidP="006D2C7B">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ITOPF staff have attended on-site at </w:t>
      </w:r>
      <w:r w:rsidR="0037659B">
        <w:t>over</w:t>
      </w:r>
      <w:r w:rsidR="00555253">
        <w:t xml:space="preserve"> 800</w:t>
      </w:r>
      <w:r w:rsidRPr="000F2394">
        <w:t xml:space="preserve"> incidents around the world, giving the organisation unparalleled practical experience of the realities of combating marine spills. ITOPF also:</w:t>
      </w:r>
    </w:p>
    <w:p w14:paraId="2F2DE310" w14:textId="77777777" w:rsidR="006D2C7B" w:rsidRPr="000F2394" w:rsidRDefault="006D2C7B" w:rsidP="006D2C7B">
      <w:pPr>
        <w:spacing w:after="0" w:line="240" w:lineRule="auto"/>
        <w:jc w:val="both"/>
      </w:pPr>
    </w:p>
    <w:p w14:paraId="0E6CB9A7" w14:textId="77777777" w:rsidR="006D2C7B" w:rsidRPr="000F2394" w:rsidRDefault="006D2C7B" w:rsidP="006D2C7B">
      <w:pPr>
        <w:pStyle w:val="ListParagraph"/>
        <w:numPr>
          <w:ilvl w:val="0"/>
          <w:numId w:val="2"/>
        </w:numPr>
        <w:spacing w:after="0" w:line="240" w:lineRule="auto"/>
        <w:jc w:val="both"/>
      </w:pPr>
      <w:r w:rsidRPr="000F2394">
        <w:t xml:space="preserve">assesses the damage caused by spills to the environment and economic resources; </w:t>
      </w:r>
    </w:p>
    <w:p w14:paraId="7C1AF12A" w14:textId="77777777" w:rsidR="006D2C7B" w:rsidRPr="000F2394" w:rsidRDefault="006D2C7B" w:rsidP="006D2C7B">
      <w:pPr>
        <w:pStyle w:val="ListParagraph"/>
        <w:numPr>
          <w:ilvl w:val="0"/>
          <w:numId w:val="2"/>
        </w:numPr>
        <w:spacing w:after="0" w:line="240" w:lineRule="auto"/>
        <w:jc w:val="both"/>
      </w:pPr>
      <w:r w:rsidRPr="000F2394">
        <w:t xml:space="preserve">provides advice on the technical merits of claims for compensation; </w:t>
      </w:r>
    </w:p>
    <w:p w14:paraId="30A2CC9F" w14:textId="77777777" w:rsidR="006D2C7B" w:rsidRPr="000F2394" w:rsidRDefault="006D2C7B" w:rsidP="006D2C7B">
      <w:pPr>
        <w:pStyle w:val="ListParagraph"/>
        <w:numPr>
          <w:ilvl w:val="0"/>
          <w:numId w:val="2"/>
        </w:numPr>
        <w:spacing w:after="0" w:line="240" w:lineRule="auto"/>
        <w:jc w:val="both"/>
      </w:pPr>
      <w:r w:rsidRPr="000F2394">
        <w:t xml:space="preserve">conducts contingency planning, advisory and training assignments; </w:t>
      </w:r>
    </w:p>
    <w:p w14:paraId="7090CD0B" w14:textId="18D7A7FD" w:rsidR="006D2C7B" w:rsidRPr="000F2394" w:rsidRDefault="006D2C7B" w:rsidP="006D2C7B">
      <w:pPr>
        <w:pStyle w:val="ListParagraph"/>
        <w:numPr>
          <w:ilvl w:val="0"/>
          <w:numId w:val="2"/>
        </w:numPr>
        <w:spacing w:after="0" w:line="240" w:lineRule="auto"/>
        <w:jc w:val="both"/>
      </w:pPr>
      <w:r w:rsidRPr="000F2394">
        <w:t>produces a range of technical publications</w:t>
      </w:r>
      <w:r w:rsidR="00494492">
        <w:t xml:space="preserve"> and films</w:t>
      </w:r>
      <w:r w:rsidRPr="000F2394">
        <w:t>; and</w:t>
      </w:r>
    </w:p>
    <w:p w14:paraId="7E1724AA" w14:textId="4F082F37" w:rsidR="006D2C7B" w:rsidRPr="000F2394" w:rsidRDefault="006D2C7B" w:rsidP="006D2C7B">
      <w:pPr>
        <w:pStyle w:val="ListParagraph"/>
        <w:numPr>
          <w:ilvl w:val="0"/>
          <w:numId w:val="2"/>
        </w:numPr>
        <w:spacing w:after="0" w:line="240" w:lineRule="auto"/>
        <w:jc w:val="both"/>
      </w:pPr>
      <w:r w:rsidRPr="000F2394">
        <w:t xml:space="preserve">maintains various databases as well as a website at </w:t>
      </w:r>
      <w:r w:rsidR="0037659B">
        <w:rPr>
          <w:rStyle w:val="Hyperlink"/>
        </w:rPr>
        <w:t>www.itopf.org.</w:t>
      </w:r>
    </w:p>
    <w:p w14:paraId="58E68FC2" w14:textId="77777777" w:rsidR="006D2C7B" w:rsidRPr="000F2394" w:rsidRDefault="006D2C7B" w:rsidP="006D2C7B">
      <w:pPr>
        <w:spacing w:after="0" w:line="240" w:lineRule="auto"/>
        <w:jc w:val="both"/>
      </w:pPr>
    </w:p>
    <w:p w14:paraId="2025E503" w14:textId="77777777" w:rsidR="006D2C7B" w:rsidRPr="000F2394" w:rsidRDefault="006D2C7B" w:rsidP="006D2C7B">
      <w:pPr>
        <w:spacing w:after="0" w:line="240" w:lineRule="auto"/>
        <w:jc w:val="both"/>
      </w:pPr>
      <w:r w:rsidRPr="000F2394">
        <w:t xml:space="preserve">4.  </w:t>
      </w:r>
      <w:r w:rsidRPr="000F2394">
        <w:tab/>
        <w:t>For further information contact:</w:t>
      </w:r>
    </w:p>
    <w:p w14:paraId="68CF6E44" w14:textId="77777777" w:rsidR="006D2C7B" w:rsidRPr="000F2394" w:rsidRDefault="006D2C7B" w:rsidP="006D2C7B">
      <w:pPr>
        <w:spacing w:after="0" w:line="240" w:lineRule="auto"/>
        <w:jc w:val="both"/>
      </w:pPr>
    </w:p>
    <w:p w14:paraId="78C62029" w14:textId="77777777" w:rsidR="006D2C7B" w:rsidRPr="000F2394" w:rsidRDefault="006D2C7B" w:rsidP="006D2C7B">
      <w:pPr>
        <w:spacing w:after="0" w:line="240" w:lineRule="auto"/>
        <w:jc w:val="both"/>
      </w:pPr>
      <w:r w:rsidRPr="000F2394">
        <w:tab/>
      </w:r>
      <w:r w:rsidRPr="000F2394">
        <w:tab/>
        <w:t xml:space="preserve">Dr </w:t>
      </w:r>
      <w:r>
        <w:t>Karen Purnell</w:t>
      </w:r>
      <w:r w:rsidRPr="000F2394">
        <w:t xml:space="preserve"> (</w:t>
      </w:r>
      <w:r>
        <w:t>Managing Director</w:t>
      </w:r>
      <w:r w:rsidRPr="000F2394">
        <w:t>)</w:t>
      </w:r>
    </w:p>
    <w:p w14:paraId="63CCAF97" w14:textId="77777777" w:rsidR="006D2C7B" w:rsidRPr="000F2394" w:rsidRDefault="006D2C7B" w:rsidP="006D2C7B">
      <w:pPr>
        <w:spacing w:after="0" w:line="240" w:lineRule="auto"/>
        <w:ind w:left="720" w:firstLine="720"/>
        <w:jc w:val="both"/>
      </w:pPr>
      <w:r w:rsidRPr="000F2394">
        <w:t>M</w:t>
      </w:r>
      <w:r>
        <w:t xml:space="preserve">rs </w:t>
      </w:r>
      <w:r w:rsidRPr="000F2394">
        <w:t xml:space="preserve">Deborah </w:t>
      </w:r>
      <w:r>
        <w:t>McKendrick</w:t>
      </w:r>
      <w:r w:rsidRPr="000F2394">
        <w:t xml:space="preserve"> (Information Officer)</w:t>
      </w:r>
    </w:p>
    <w:p w14:paraId="3E7926DF" w14:textId="71B9BD85" w:rsidR="006D2C7B" w:rsidRPr="000F2394" w:rsidRDefault="006D2C7B" w:rsidP="006D2C7B">
      <w:pPr>
        <w:spacing w:after="0" w:line="240" w:lineRule="auto"/>
        <w:jc w:val="both"/>
      </w:pPr>
      <w:r w:rsidRPr="000F2394">
        <w:tab/>
      </w:r>
      <w:r w:rsidRPr="000F2394">
        <w:tab/>
      </w:r>
      <w:r w:rsidR="00AD0B4B" w:rsidRPr="000F2394">
        <w:t>ITOPF</w:t>
      </w:r>
      <w:r w:rsidRPr="000F2394">
        <w:t xml:space="preserve"> Limited </w:t>
      </w:r>
    </w:p>
    <w:p w14:paraId="48D50BE2" w14:textId="77777777" w:rsidR="006D2C7B" w:rsidRPr="000F2394" w:rsidRDefault="006D2C7B" w:rsidP="006D2C7B">
      <w:pPr>
        <w:spacing w:after="0" w:line="240" w:lineRule="auto"/>
        <w:jc w:val="both"/>
      </w:pPr>
      <w:r w:rsidRPr="000F2394">
        <w:tab/>
      </w:r>
      <w:r w:rsidRPr="000F2394">
        <w:tab/>
        <w:t>1 Oliver’s Yard, 55 City Road, London EC1Y 1HQ</w:t>
      </w:r>
    </w:p>
    <w:p w14:paraId="3035B2E5" w14:textId="77777777" w:rsidR="006D2C7B" w:rsidRPr="000F2394" w:rsidRDefault="006D2C7B" w:rsidP="006D2C7B">
      <w:pPr>
        <w:spacing w:after="0" w:line="240" w:lineRule="auto"/>
        <w:jc w:val="both"/>
      </w:pPr>
    </w:p>
    <w:p w14:paraId="171CD436" w14:textId="77777777" w:rsidR="006D2C7B" w:rsidRPr="000F2394" w:rsidRDefault="006D2C7B" w:rsidP="006D2C7B">
      <w:pPr>
        <w:spacing w:after="0" w:line="240" w:lineRule="auto"/>
        <w:jc w:val="both"/>
      </w:pPr>
      <w:r w:rsidRPr="000F2394">
        <w:tab/>
      </w:r>
      <w:r w:rsidRPr="000F2394">
        <w:tab/>
        <w:t>Tel:  +44 (0)20 7566 6999</w:t>
      </w:r>
    </w:p>
    <w:p w14:paraId="4805C700" w14:textId="77777777" w:rsidR="006D2C7B" w:rsidRPr="000F2394" w:rsidRDefault="006D2C7B" w:rsidP="006D2C7B">
      <w:pPr>
        <w:spacing w:after="0" w:line="240" w:lineRule="auto"/>
        <w:jc w:val="both"/>
        <w:rPr>
          <w:rFonts w:cs="Arial"/>
        </w:rPr>
      </w:pPr>
      <w:r w:rsidRPr="000F2394">
        <w:rPr>
          <w:rFonts w:cs="Arial"/>
        </w:rPr>
        <w:tab/>
      </w:r>
      <w:r w:rsidRPr="000F2394">
        <w:rPr>
          <w:rFonts w:cs="Arial"/>
        </w:rPr>
        <w:tab/>
        <w:t>Fax: +44 (0)20 7566 6950</w:t>
      </w:r>
    </w:p>
    <w:p w14:paraId="20B02B5C" w14:textId="03E1AAAF" w:rsidR="006D2C7B" w:rsidRPr="000F2394" w:rsidRDefault="006D2C7B" w:rsidP="006D2C7B">
      <w:pPr>
        <w:spacing w:after="0" w:line="240" w:lineRule="auto"/>
        <w:jc w:val="both"/>
        <w:rPr>
          <w:rFonts w:cs="Arial"/>
        </w:rPr>
      </w:pPr>
      <w:r>
        <w:rPr>
          <w:rFonts w:cs="Arial"/>
        </w:rPr>
        <w:tab/>
      </w:r>
      <w:r>
        <w:rPr>
          <w:rFonts w:cs="Arial"/>
        </w:rPr>
        <w:tab/>
        <w:t>Email:</w:t>
      </w:r>
      <w:hyperlink r:id="rId11" w:history="1">
        <w:r w:rsidR="00AD0B4B" w:rsidRPr="001236FD">
          <w:rPr>
            <w:rStyle w:val="Hyperlink"/>
            <w:rFonts w:cs="Arial"/>
          </w:rPr>
          <w:t xml:space="preserve"> deborahmckendrick@itopf.org</w:t>
        </w:r>
      </w:hyperlink>
    </w:p>
    <w:p w14:paraId="5B5815B6" w14:textId="03BB1B89" w:rsidR="006D2C7B" w:rsidRPr="000F2394" w:rsidRDefault="006D2C7B" w:rsidP="001F4001">
      <w:pPr>
        <w:spacing w:after="0" w:line="240" w:lineRule="auto"/>
        <w:jc w:val="both"/>
        <w:rPr>
          <w:rFonts w:cs="Tahoma"/>
          <w:b/>
          <w:sz w:val="28"/>
          <w:szCs w:val="28"/>
          <w:u w:val="single"/>
        </w:rPr>
      </w:pPr>
      <w:r w:rsidRPr="000F2394">
        <w:rPr>
          <w:rFonts w:cs="Arial"/>
        </w:rPr>
        <w:tab/>
      </w:r>
      <w:r w:rsidRPr="000F2394">
        <w:rPr>
          <w:rFonts w:cs="Arial"/>
        </w:rPr>
        <w:tab/>
        <w:t xml:space="preserve">Web: </w:t>
      </w:r>
      <w:hyperlink r:id="rId12" w:history="1">
        <w:r w:rsidR="0002747A" w:rsidRPr="001236FD">
          <w:rPr>
            <w:rStyle w:val="Hyperlink"/>
            <w:rFonts w:cs="Arial"/>
          </w:rPr>
          <w:t>www.itopf.org</w:t>
        </w:r>
      </w:hyperlink>
      <w:r w:rsidRPr="000F2394">
        <w:rPr>
          <w:rFonts w:cs="Arial"/>
        </w:rPr>
        <w:tab/>
      </w:r>
      <w:r w:rsidRPr="000F2394">
        <w:rPr>
          <w:rFonts w:cs="Arial"/>
        </w:rPr>
        <w:tab/>
      </w:r>
    </w:p>
    <w:sectPr w:rsidR="006D2C7B" w:rsidRPr="000F2394"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795A" w14:textId="77777777" w:rsidR="00E93D77" w:rsidRDefault="00E93D77" w:rsidP="0095076F">
      <w:pPr>
        <w:spacing w:after="0" w:line="240" w:lineRule="auto"/>
      </w:pPr>
      <w:r>
        <w:separator/>
      </w:r>
    </w:p>
  </w:endnote>
  <w:endnote w:type="continuationSeparator" w:id="0">
    <w:p w14:paraId="179E9989" w14:textId="77777777"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9F7F" w14:textId="6FEC380F" w:rsidR="00E93D77" w:rsidRPr="001D6A4D" w:rsidRDefault="00E93D77" w:rsidP="00ED37D6">
    <w:pPr>
      <w:pStyle w:val="Footer"/>
      <w:pBdr>
        <w:top w:val="single" w:sz="2" w:space="5" w:color="019069"/>
      </w:pBdr>
      <w:tabs>
        <w:tab w:val="clear" w:pos="4513"/>
        <w:tab w:val="left" w:pos="142"/>
      </w:tabs>
    </w:pPr>
    <w:r>
      <w:t xml:space="preserve">ITOPF </w:t>
    </w:r>
    <w:r w:rsidR="004019B5">
      <w:t>201</w:t>
    </w:r>
    <w:r w:rsidR="00B85FA1">
      <w:t>9</w:t>
    </w:r>
  </w:p>
  <w:p w14:paraId="757AA7D2" w14:textId="77777777" w:rsidR="00E93D77" w:rsidRDefault="00E9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5F01" w14:textId="55C673B7" w:rsidR="00E93D77" w:rsidRPr="001D6A4D" w:rsidRDefault="000D7825" w:rsidP="00181ECA">
    <w:pPr>
      <w:pStyle w:val="Footer"/>
      <w:pBdr>
        <w:top w:val="single" w:sz="2" w:space="5" w:color="019069"/>
      </w:pBdr>
      <w:tabs>
        <w:tab w:val="clear" w:pos="4513"/>
        <w:tab w:val="left" w:pos="142"/>
      </w:tabs>
    </w:pPr>
    <w:r>
      <w:t xml:space="preserve">11 </w:t>
    </w:r>
    <w:r w:rsidR="004C6A8A">
      <w:t>January 201</w:t>
    </w:r>
    <w:r w:rsidR="0037659B">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D96E" w14:textId="77777777" w:rsidR="00E93D77" w:rsidRDefault="00E93D77" w:rsidP="0095076F">
      <w:pPr>
        <w:spacing w:after="0" w:line="240" w:lineRule="auto"/>
      </w:pPr>
      <w:r>
        <w:separator/>
      </w:r>
    </w:p>
  </w:footnote>
  <w:footnote w:type="continuationSeparator" w:id="0">
    <w:p w14:paraId="5F43AFFC" w14:textId="77777777"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12085F" w:rsidRPr="00CD77F2" w14:paraId="44C1CD60" w14:textId="77777777" w:rsidTr="00685563">
      <w:tc>
        <w:tcPr>
          <w:tcW w:w="1119" w:type="dxa"/>
        </w:tcPr>
        <w:p w14:paraId="59B410AB" w14:textId="77777777" w:rsidR="0012085F" w:rsidRDefault="0012085F" w:rsidP="0012085F">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59F0A6F4" wp14:editId="0041C705">
                <wp:extent cx="546455" cy="590550"/>
                <wp:effectExtent l="0" t="0" r="635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6BF0653B" w14:textId="77777777" w:rsidR="0012085F" w:rsidRPr="0012085F" w:rsidRDefault="0012085F" w:rsidP="0012085F">
          <w:pPr>
            <w:pStyle w:val="NormalWeb"/>
            <w:shd w:val="clear" w:color="auto" w:fill="FFFFFF"/>
            <w:tabs>
              <w:tab w:val="left" w:pos="7938"/>
            </w:tabs>
            <w:spacing w:before="0" w:after="0"/>
            <w:jc w:val="right"/>
            <w:rPr>
              <w:rFonts w:asciiTheme="minorHAnsi" w:hAnsiTheme="minorHAnsi"/>
              <w:b/>
              <w:color w:val="242C5C"/>
              <w:sz w:val="48"/>
              <w:szCs w:val="48"/>
            </w:rPr>
          </w:pPr>
          <w:r w:rsidRPr="0012085F">
            <w:rPr>
              <w:rFonts w:asciiTheme="minorHAnsi" w:hAnsiTheme="minorHAnsi"/>
              <w:b/>
              <w:color w:val="242C5C"/>
              <w:sz w:val="48"/>
              <w:szCs w:val="48"/>
            </w:rPr>
            <w:t>2018 Oil Tanker Spill Statistics</w:t>
          </w:r>
        </w:p>
        <w:p w14:paraId="006884F8" w14:textId="77777777" w:rsidR="0012085F" w:rsidRPr="00CD77F2" w:rsidRDefault="0012085F" w:rsidP="0012085F">
          <w:pPr>
            <w:pStyle w:val="Header"/>
            <w:rPr>
              <w:rFonts w:ascii="Franklin Gothic Book" w:hAnsi="Franklin Gothic Book"/>
              <w:b/>
              <w:sz w:val="72"/>
              <w:szCs w:val="72"/>
            </w:rPr>
          </w:pPr>
        </w:p>
      </w:tc>
    </w:tr>
  </w:tbl>
  <w:p w14:paraId="5BDA93A0" w14:textId="71FD190E" w:rsidR="00E93D77" w:rsidRPr="004B53B3" w:rsidRDefault="00E93D77" w:rsidP="0012085F">
    <w:pPr>
      <w:pStyle w:val="NormalWeb"/>
      <w:shd w:val="clear" w:color="auto" w:fill="FFFFFF"/>
      <w:tabs>
        <w:tab w:val="left" w:pos="7938"/>
      </w:tabs>
      <w:spacing w:before="0" w:after="0"/>
      <w:jc w:val="right"/>
      <w:rPr>
        <w:color w:val="005A9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F021A3" w:rsidRPr="00CD77F2" w14:paraId="1EF75A40" w14:textId="77777777" w:rsidTr="00F021A3">
      <w:tc>
        <w:tcPr>
          <w:tcW w:w="1119" w:type="dxa"/>
        </w:tcPr>
        <w:p w14:paraId="2AD737D9" w14:textId="7DA2E5FA" w:rsidR="00F021A3" w:rsidRDefault="00F021A3" w:rsidP="00F021A3">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6D5DA7A6" wp14:editId="712551C3">
                <wp:extent cx="546455" cy="590550"/>
                <wp:effectExtent l="0" t="0" r="6350"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70B213F2" w14:textId="74BC8CCD" w:rsidR="00CF41D3" w:rsidRPr="009242DE" w:rsidRDefault="009242DE" w:rsidP="00CF41D3">
          <w:pPr>
            <w:pStyle w:val="NormalWeb"/>
            <w:shd w:val="clear" w:color="auto" w:fill="FFFFFF"/>
            <w:tabs>
              <w:tab w:val="left" w:pos="7938"/>
            </w:tabs>
            <w:spacing w:before="0" w:after="0"/>
            <w:jc w:val="right"/>
            <w:rPr>
              <w:rFonts w:asciiTheme="minorHAnsi" w:hAnsiTheme="minorHAnsi"/>
              <w:b/>
              <w:color w:val="242C5C"/>
              <w:sz w:val="72"/>
              <w:szCs w:val="72"/>
            </w:rPr>
          </w:pPr>
          <w:r w:rsidRPr="009242DE">
            <w:rPr>
              <w:rFonts w:asciiTheme="minorHAnsi" w:hAnsiTheme="minorHAnsi"/>
              <w:b/>
              <w:color w:val="242C5C"/>
              <w:sz w:val="72"/>
              <w:szCs w:val="72"/>
            </w:rPr>
            <w:t>PRESS RELEASE</w:t>
          </w:r>
        </w:p>
        <w:p w14:paraId="1AA3F4E9" w14:textId="7CF24014" w:rsidR="00F021A3" w:rsidRPr="00CD77F2" w:rsidRDefault="00F021A3" w:rsidP="004B53B3">
          <w:pPr>
            <w:pStyle w:val="Header"/>
            <w:rPr>
              <w:rFonts w:ascii="Franklin Gothic Book" w:hAnsi="Franklin Gothic Book"/>
              <w:b/>
              <w:sz w:val="72"/>
              <w:szCs w:val="72"/>
            </w:rPr>
          </w:pP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F6"/>
    <w:rsid w:val="00000CAC"/>
    <w:rsid w:val="0000139D"/>
    <w:rsid w:val="000139DA"/>
    <w:rsid w:val="0002747A"/>
    <w:rsid w:val="00030A5A"/>
    <w:rsid w:val="000606E9"/>
    <w:rsid w:val="00062391"/>
    <w:rsid w:val="00070BD4"/>
    <w:rsid w:val="00070DCA"/>
    <w:rsid w:val="00075302"/>
    <w:rsid w:val="00076AE5"/>
    <w:rsid w:val="00080BB0"/>
    <w:rsid w:val="0008441D"/>
    <w:rsid w:val="00095077"/>
    <w:rsid w:val="000A0821"/>
    <w:rsid w:val="000A46F1"/>
    <w:rsid w:val="000B59D8"/>
    <w:rsid w:val="000C08B3"/>
    <w:rsid w:val="000C6A4E"/>
    <w:rsid w:val="000D6EFE"/>
    <w:rsid w:val="000D7825"/>
    <w:rsid w:val="000E064D"/>
    <w:rsid w:val="000F2394"/>
    <w:rsid w:val="000F5854"/>
    <w:rsid w:val="000F680F"/>
    <w:rsid w:val="000F765E"/>
    <w:rsid w:val="0012085F"/>
    <w:rsid w:val="00122E89"/>
    <w:rsid w:val="00125C19"/>
    <w:rsid w:val="00127286"/>
    <w:rsid w:val="00152CA6"/>
    <w:rsid w:val="00171A77"/>
    <w:rsid w:val="00180F21"/>
    <w:rsid w:val="00181470"/>
    <w:rsid w:val="00181ECA"/>
    <w:rsid w:val="00185AE9"/>
    <w:rsid w:val="00190656"/>
    <w:rsid w:val="001A2A57"/>
    <w:rsid w:val="001A7AA5"/>
    <w:rsid w:val="001E7386"/>
    <w:rsid w:val="001F4001"/>
    <w:rsid w:val="001F74CD"/>
    <w:rsid w:val="001F77D1"/>
    <w:rsid w:val="001F7AFC"/>
    <w:rsid w:val="00202E59"/>
    <w:rsid w:val="002137C3"/>
    <w:rsid w:val="0021754C"/>
    <w:rsid w:val="00231687"/>
    <w:rsid w:val="00237818"/>
    <w:rsid w:val="0024122D"/>
    <w:rsid w:val="00246A2C"/>
    <w:rsid w:val="00247041"/>
    <w:rsid w:val="00250C0B"/>
    <w:rsid w:val="00267F73"/>
    <w:rsid w:val="00276602"/>
    <w:rsid w:val="0027672C"/>
    <w:rsid w:val="002B2DCA"/>
    <w:rsid w:val="002B40BF"/>
    <w:rsid w:val="002B4BAF"/>
    <w:rsid w:val="002F317E"/>
    <w:rsid w:val="002F74AC"/>
    <w:rsid w:val="00320C87"/>
    <w:rsid w:val="003211C0"/>
    <w:rsid w:val="003239A7"/>
    <w:rsid w:val="00333433"/>
    <w:rsid w:val="003362F3"/>
    <w:rsid w:val="003474B2"/>
    <w:rsid w:val="00362234"/>
    <w:rsid w:val="0037659B"/>
    <w:rsid w:val="00376688"/>
    <w:rsid w:val="00380443"/>
    <w:rsid w:val="00387E0E"/>
    <w:rsid w:val="0039163E"/>
    <w:rsid w:val="003A0707"/>
    <w:rsid w:val="003A56D8"/>
    <w:rsid w:val="003B4C09"/>
    <w:rsid w:val="003C7DF9"/>
    <w:rsid w:val="003D0CCB"/>
    <w:rsid w:val="003D29BE"/>
    <w:rsid w:val="003D7695"/>
    <w:rsid w:val="003E695D"/>
    <w:rsid w:val="004019B5"/>
    <w:rsid w:val="00412923"/>
    <w:rsid w:val="00422DF1"/>
    <w:rsid w:val="004420F5"/>
    <w:rsid w:val="00453DA1"/>
    <w:rsid w:val="004628FC"/>
    <w:rsid w:val="0046572F"/>
    <w:rsid w:val="004659B6"/>
    <w:rsid w:val="0049364D"/>
    <w:rsid w:val="00494492"/>
    <w:rsid w:val="004A7F8C"/>
    <w:rsid w:val="004B263E"/>
    <w:rsid w:val="004B53B3"/>
    <w:rsid w:val="004C6195"/>
    <w:rsid w:val="004C6A8A"/>
    <w:rsid w:val="00505E24"/>
    <w:rsid w:val="00512BC6"/>
    <w:rsid w:val="0052045E"/>
    <w:rsid w:val="0053619F"/>
    <w:rsid w:val="00543CE8"/>
    <w:rsid w:val="00555253"/>
    <w:rsid w:val="00556B34"/>
    <w:rsid w:val="0056353F"/>
    <w:rsid w:val="0058048D"/>
    <w:rsid w:val="00587D0B"/>
    <w:rsid w:val="0059359B"/>
    <w:rsid w:val="005B6418"/>
    <w:rsid w:val="005C31EC"/>
    <w:rsid w:val="005C359E"/>
    <w:rsid w:val="005D14F1"/>
    <w:rsid w:val="005D42AA"/>
    <w:rsid w:val="005D62CB"/>
    <w:rsid w:val="005E0A17"/>
    <w:rsid w:val="005F7677"/>
    <w:rsid w:val="00621C58"/>
    <w:rsid w:val="00621E74"/>
    <w:rsid w:val="00624746"/>
    <w:rsid w:val="00636E3F"/>
    <w:rsid w:val="00640759"/>
    <w:rsid w:val="00647913"/>
    <w:rsid w:val="00653351"/>
    <w:rsid w:val="0066110D"/>
    <w:rsid w:val="006765D7"/>
    <w:rsid w:val="0068558C"/>
    <w:rsid w:val="006876E5"/>
    <w:rsid w:val="0069613C"/>
    <w:rsid w:val="006A7F43"/>
    <w:rsid w:val="006B62DA"/>
    <w:rsid w:val="006D2C7B"/>
    <w:rsid w:val="006D5056"/>
    <w:rsid w:val="006D7DBF"/>
    <w:rsid w:val="006E46CB"/>
    <w:rsid w:val="007014A6"/>
    <w:rsid w:val="00703905"/>
    <w:rsid w:val="00724512"/>
    <w:rsid w:val="00737094"/>
    <w:rsid w:val="00761107"/>
    <w:rsid w:val="007626C1"/>
    <w:rsid w:val="00765808"/>
    <w:rsid w:val="007667D7"/>
    <w:rsid w:val="00773E7D"/>
    <w:rsid w:val="00785483"/>
    <w:rsid w:val="00793A05"/>
    <w:rsid w:val="00793FA9"/>
    <w:rsid w:val="007B50DB"/>
    <w:rsid w:val="007B74AF"/>
    <w:rsid w:val="007C076C"/>
    <w:rsid w:val="007C1393"/>
    <w:rsid w:val="007C1A41"/>
    <w:rsid w:val="007C43B2"/>
    <w:rsid w:val="007C5540"/>
    <w:rsid w:val="007D1BB3"/>
    <w:rsid w:val="007D257B"/>
    <w:rsid w:val="007D25AC"/>
    <w:rsid w:val="007D31F6"/>
    <w:rsid w:val="007E3875"/>
    <w:rsid w:val="007E6BBB"/>
    <w:rsid w:val="007F1976"/>
    <w:rsid w:val="007F2FCF"/>
    <w:rsid w:val="007F4007"/>
    <w:rsid w:val="007F6170"/>
    <w:rsid w:val="008076CD"/>
    <w:rsid w:val="008136C2"/>
    <w:rsid w:val="00824EEC"/>
    <w:rsid w:val="008250C2"/>
    <w:rsid w:val="0083313E"/>
    <w:rsid w:val="00833D7E"/>
    <w:rsid w:val="00846234"/>
    <w:rsid w:val="008539D9"/>
    <w:rsid w:val="0087219E"/>
    <w:rsid w:val="0088375F"/>
    <w:rsid w:val="00890C23"/>
    <w:rsid w:val="0089159B"/>
    <w:rsid w:val="00895C3F"/>
    <w:rsid w:val="00896C25"/>
    <w:rsid w:val="008A1050"/>
    <w:rsid w:val="008A7788"/>
    <w:rsid w:val="008B71E8"/>
    <w:rsid w:val="008C0A5F"/>
    <w:rsid w:val="008C0F6E"/>
    <w:rsid w:val="008C1BA7"/>
    <w:rsid w:val="008D61AF"/>
    <w:rsid w:val="008D6E77"/>
    <w:rsid w:val="008E25AD"/>
    <w:rsid w:val="008F09B3"/>
    <w:rsid w:val="00903B7C"/>
    <w:rsid w:val="009126B7"/>
    <w:rsid w:val="009242DE"/>
    <w:rsid w:val="009352CB"/>
    <w:rsid w:val="00935D85"/>
    <w:rsid w:val="0095076F"/>
    <w:rsid w:val="00956B77"/>
    <w:rsid w:val="00957699"/>
    <w:rsid w:val="00966C3A"/>
    <w:rsid w:val="00973A9C"/>
    <w:rsid w:val="00977002"/>
    <w:rsid w:val="00980361"/>
    <w:rsid w:val="0098466C"/>
    <w:rsid w:val="00986071"/>
    <w:rsid w:val="009A0C6A"/>
    <w:rsid w:val="009A515F"/>
    <w:rsid w:val="009C267A"/>
    <w:rsid w:val="009F7155"/>
    <w:rsid w:val="00A111AA"/>
    <w:rsid w:val="00A2192E"/>
    <w:rsid w:val="00A21BD7"/>
    <w:rsid w:val="00A55273"/>
    <w:rsid w:val="00A5545C"/>
    <w:rsid w:val="00A57D12"/>
    <w:rsid w:val="00A90548"/>
    <w:rsid w:val="00A9544F"/>
    <w:rsid w:val="00A96EB8"/>
    <w:rsid w:val="00AA28B2"/>
    <w:rsid w:val="00AA3686"/>
    <w:rsid w:val="00AA67D6"/>
    <w:rsid w:val="00AC4E77"/>
    <w:rsid w:val="00AD0B4B"/>
    <w:rsid w:val="00AE7B89"/>
    <w:rsid w:val="00AF0560"/>
    <w:rsid w:val="00AF7045"/>
    <w:rsid w:val="00B029D8"/>
    <w:rsid w:val="00B10CA9"/>
    <w:rsid w:val="00B278EE"/>
    <w:rsid w:val="00B31476"/>
    <w:rsid w:val="00B73372"/>
    <w:rsid w:val="00B733E0"/>
    <w:rsid w:val="00B85FA1"/>
    <w:rsid w:val="00B97068"/>
    <w:rsid w:val="00BD2402"/>
    <w:rsid w:val="00BD5D91"/>
    <w:rsid w:val="00BE3060"/>
    <w:rsid w:val="00BF7536"/>
    <w:rsid w:val="00C10CDE"/>
    <w:rsid w:val="00C17651"/>
    <w:rsid w:val="00C4339C"/>
    <w:rsid w:val="00C56C11"/>
    <w:rsid w:val="00C64114"/>
    <w:rsid w:val="00C65309"/>
    <w:rsid w:val="00C67202"/>
    <w:rsid w:val="00C86522"/>
    <w:rsid w:val="00C97C35"/>
    <w:rsid w:val="00CD77F2"/>
    <w:rsid w:val="00CE1134"/>
    <w:rsid w:val="00CE709E"/>
    <w:rsid w:val="00CF2221"/>
    <w:rsid w:val="00CF3DBA"/>
    <w:rsid w:val="00CF41D3"/>
    <w:rsid w:val="00CF7614"/>
    <w:rsid w:val="00D00EB9"/>
    <w:rsid w:val="00D01E26"/>
    <w:rsid w:val="00D0246C"/>
    <w:rsid w:val="00D151CB"/>
    <w:rsid w:val="00D1635E"/>
    <w:rsid w:val="00D16F6B"/>
    <w:rsid w:val="00D2280E"/>
    <w:rsid w:val="00D360F9"/>
    <w:rsid w:val="00D403D3"/>
    <w:rsid w:val="00D504C4"/>
    <w:rsid w:val="00D7642E"/>
    <w:rsid w:val="00D96127"/>
    <w:rsid w:val="00DA1A92"/>
    <w:rsid w:val="00DD46D2"/>
    <w:rsid w:val="00DE2026"/>
    <w:rsid w:val="00E312D6"/>
    <w:rsid w:val="00E32B15"/>
    <w:rsid w:val="00E34C55"/>
    <w:rsid w:val="00E40D6A"/>
    <w:rsid w:val="00E41C7F"/>
    <w:rsid w:val="00E42ADB"/>
    <w:rsid w:val="00E803E5"/>
    <w:rsid w:val="00E85042"/>
    <w:rsid w:val="00E93D77"/>
    <w:rsid w:val="00EA0670"/>
    <w:rsid w:val="00EA6B79"/>
    <w:rsid w:val="00EB09CC"/>
    <w:rsid w:val="00EC1A3D"/>
    <w:rsid w:val="00ED37D6"/>
    <w:rsid w:val="00EE4FC0"/>
    <w:rsid w:val="00EF4534"/>
    <w:rsid w:val="00F021A3"/>
    <w:rsid w:val="00F25319"/>
    <w:rsid w:val="00F31C2A"/>
    <w:rsid w:val="00F40105"/>
    <w:rsid w:val="00F54205"/>
    <w:rsid w:val="00F5503C"/>
    <w:rsid w:val="00F573E7"/>
    <w:rsid w:val="00F71A5A"/>
    <w:rsid w:val="00F86FBD"/>
    <w:rsid w:val="00F9429F"/>
    <w:rsid w:val="00FB3C04"/>
    <w:rsid w:val="00FB455E"/>
    <w:rsid w:val="00FB54C7"/>
    <w:rsid w:val="00FD015D"/>
    <w:rsid w:val="00FD441F"/>
    <w:rsid w:val="00FD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D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deborahmckendrick@itop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org/knowledge-resources/data-statistics/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27DF-DE1F-41C1-A47D-D3840428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14</cp:revision>
  <cp:lastPrinted>2019-01-11T10:34:00Z</cp:lastPrinted>
  <dcterms:created xsi:type="dcterms:W3CDTF">2019-01-10T16:20:00Z</dcterms:created>
  <dcterms:modified xsi:type="dcterms:W3CDTF">2019-01-11T10:39:00Z</dcterms:modified>
</cp:coreProperties>
</file>