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19AEB" w14:textId="77777777" w:rsidR="006F2646" w:rsidRPr="00D5288B" w:rsidRDefault="0089300D" w:rsidP="0089300D">
      <w:pPr>
        <w:spacing w:after="0" w:line="240" w:lineRule="auto"/>
        <w:jc w:val="center"/>
        <w:rPr>
          <w:rFonts w:cstheme="minorHAnsi"/>
          <w:b/>
          <w:color w:val="242C5C"/>
          <w:sz w:val="40"/>
          <w:szCs w:val="40"/>
        </w:rPr>
      </w:pPr>
      <w:r w:rsidRPr="00D5288B">
        <w:rPr>
          <w:rFonts w:cstheme="minorHAnsi"/>
          <w:b/>
          <w:color w:val="242C5C"/>
          <w:sz w:val="40"/>
          <w:szCs w:val="40"/>
        </w:rPr>
        <w:t>2019 Oil Tanker Spill Statistics</w:t>
      </w:r>
    </w:p>
    <w:p w14:paraId="537CEFE3" w14:textId="3EE595D3" w:rsidR="0089300D" w:rsidRPr="00D5288B" w:rsidRDefault="0089300D" w:rsidP="0089300D">
      <w:pPr>
        <w:spacing w:after="0" w:line="240" w:lineRule="auto"/>
        <w:jc w:val="center"/>
        <w:rPr>
          <w:rFonts w:cstheme="minorHAnsi"/>
          <w:b/>
          <w:color w:val="242C5C"/>
          <w:sz w:val="40"/>
          <w:szCs w:val="40"/>
        </w:rPr>
      </w:pPr>
      <w:r w:rsidRPr="00D5288B">
        <w:rPr>
          <w:rFonts w:cstheme="minorHAnsi"/>
          <w:b/>
          <w:color w:val="242C5C"/>
          <w:sz w:val="36"/>
          <w:szCs w:val="36"/>
        </w:rPr>
        <w:t xml:space="preserve"> </w:t>
      </w:r>
      <w:r w:rsidRPr="00D5288B">
        <w:rPr>
          <w:rFonts w:cstheme="minorHAnsi"/>
          <w:b/>
          <w:color w:val="242C5C"/>
          <w:sz w:val="40"/>
          <w:szCs w:val="40"/>
        </w:rPr>
        <w:t>Lowest number of spills recorded in half a century</w:t>
      </w:r>
    </w:p>
    <w:p w14:paraId="1C85F49D" w14:textId="77777777" w:rsidR="0089300D" w:rsidRPr="0089300D" w:rsidRDefault="0089300D" w:rsidP="0089300D">
      <w:pPr>
        <w:spacing w:after="0" w:line="240" w:lineRule="auto"/>
        <w:jc w:val="center"/>
        <w:rPr>
          <w:rFonts w:cstheme="minorHAnsi"/>
          <w:b/>
          <w:sz w:val="36"/>
          <w:szCs w:val="36"/>
        </w:rPr>
      </w:pPr>
    </w:p>
    <w:p w14:paraId="477CAB57" w14:textId="77777777" w:rsidR="0089300D" w:rsidRPr="00D5288B" w:rsidRDefault="0089300D" w:rsidP="00D5288B">
      <w:pPr>
        <w:spacing w:after="120" w:line="360" w:lineRule="auto"/>
        <w:jc w:val="both"/>
        <w:rPr>
          <w:rFonts w:cstheme="minorHAnsi"/>
          <w:color w:val="002060"/>
          <w:sz w:val="20"/>
          <w:szCs w:val="20"/>
        </w:rPr>
      </w:pPr>
      <w:r>
        <w:rPr>
          <w:noProof/>
        </w:rPr>
        <w:drawing>
          <wp:inline distT="0" distB="0" distL="0" distR="0" wp14:anchorId="248E0B5D" wp14:editId="5A12D18B">
            <wp:extent cx="5731510" cy="4128135"/>
            <wp:effectExtent l="0" t="0" r="2540" b="5715"/>
            <wp:docPr id="1" name="Chart 1">
              <a:extLst xmlns:a="http://schemas.openxmlformats.org/drawingml/2006/main">
                <a:ext uri="{FF2B5EF4-FFF2-40B4-BE49-F238E27FC236}">
                  <a16:creationId xmlns:a16="http://schemas.microsoft.com/office/drawing/2014/main" id="{9B4BBF73-A066-4E2B-B20D-559824091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0" w:name="_Hlk534799332"/>
      <w:r w:rsidRPr="00D5288B">
        <w:rPr>
          <w:rFonts w:cstheme="minorHAnsi"/>
          <w:i/>
          <w:color w:val="002060"/>
          <w:sz w:val="20"/>
          <w:szCs w:val="20"/>
        </w:rPr>
        <w:t>Number of large (&gt;700 tonnes) and medium (7-700 tonnes) spills recorded from 1970 to 201</w:t>
      </w:r>
      <w:bookmarkEnd w:id="0"/>
      <w:r w:rsidRPr="00D5288B">
        <w:rPr>
          <w:rFonts w:cstheme="minorHAnsi"/>
          <w:i/>
          <w:color w:val="002060"/>
          <w:sz w:val="20"/>
          <w:szCs w:val="20"/>
        </w:rPr>
        <w:t>9</w:t>
      </w:r>
    </w:p>
    <w:p w14:paraId="70EB96CD" w14:textId="77777777" w:rsidR="00D5288B" w:rsidRDefault="00D5288B" w:rsidP="00782A98">
      <w:pPr>
        <w:spacing w:after="120" w:line="288" w:lineRule="auto"/>
        <w:jc w:val="both"/>
        <w:rPr>
          <w:rFonts w:cstheme="minorHAnsi"/>
        </w:rPr>
      </w:pPr>
      <w:r>
        <w:rPr>
          <w:rFonts w:cstheme="minorHAnsi"/>
        </w:rPr>
        <w:t>Over the last five decades, the frequency of oil spills from tankers has continued to decrease</w:t>
      </w:r>
      <w:r w:rsidRPr="00B83DE0">
        <w:rPr>
          <w:rFonts w:cstheme="minorHAnsi"/>
        </w:rPr>
        <w:t xml:space="preserve">. The average number of spills </w:t>
      </w:r>
      <w:r>
        <w:rPr>
          <w:rFonts w:cstheme="minorHAnsi"/>
        </w:rPr>
        <w:t xml:space="preserve">of </w:t>
      </w:r>
      <w:r w:rsidRPr="00B83DE0">
        <w:rPr>
          <w:rFonts w:cstheme="minorHAnsi"/>
        </w:rPr>
        <w:t>7 tonnes</w:t>
      </w:r>
      <w:r>
        <w:rPr>
          <w:rFonts w:cstheme="minorHAnsi"/>
        </w:rPr>
        <w:t xml:space="preserve"> or more </w:t>
      </w:r>
      <w:r w:rsidRPr="006341DE">
        <w:rPr>
          <w:rFonts w:cstheme="minorHAnsi"/>
        </w:rPr>
        <w:t xml:space="preserve">in the 1970s was about 79 </w:t>
      </w:r>
      <w:r>
        <w:rPr>
          <w:rFonts w:cstheme="minorHAnsi"/>
        </w:rPr>
        <w:t xml:space="preserve">per year </w:t>
      </w:r>
      <w:r w:rsidRPr="006341DE">
        <w:rPr>
          <w:rFonts w:cstheme="minorHAnsi"/>
        </w:rPr>
        <w:t xml:space="preserve">and has now decreased by over 90 percent to a low of </w:t>
      </w:r>
      <w:r>
        <w:rPr>
          <w:rFonts w:cstheme="minorHAnsi"/>
        </w:rPr>
        <w:t>six.</w:t>
      </w:r>
    </w:p>
    <w:p w14:paraId="14C60465" w14:textId="00749EF8" w:rsidR="0089300D" w:rsidRDefault="0089300D" w:rsidP="00782A98">
      <w:pPr>
        <w:spacing w:after="120" w:line="288" w:lineRule="auto"/>
        <w:jc w:val="both"/>
        <w:rPr>
          <w:rFonts w:cstheme="minorHAnsi"/>
        </w:rPr>
      </w:pPr>
      <w:r>
        <w:rPr>
          <w:rFonts w:cstheme="minorHAnsi"/>
        </w:rPr>
        <w:t xml:space="preserve">Similarly, </w:t>
      </w:r>
      <w:r w:rsidRPr="00315F99">
        <w:rPr>
          <w:rFonts w:cstheme="minorHAnsi"/>
        </w:rPr>
        <w:t xml:space="preserve">there has been a significant reduction in </w:t>
      </w:r>
      <w:r w:rsidR="000F4FB1">
        <w:rPr>
          <w:rFonts w:cstheme="minorHAnsi"/>
        </w:rPr>
        <w:t xml:space="preserve">the </w:t>
      </w:r>
      <w:r w:rsidRPr="00315F99">
        <w:rPr>
          <w:rFonts w:cstheme="minorHAnsi"/>
        </w:rPr>
        <w:t>quantity of oil spilled through the</w:t>
      </w:r>
      <w:r>
        <w:rPr>
          <w:rFonts w:cstheme="minorHAnsi"/>
        </w:rPr>
        <w:t xml:space="preserve"> decades.</w:t>
      </w:r>
      <w:r w:rsidRPr="00D17D90">
        <w:rPr>
          <w:rFonts w:cstheme="minorHAnsi"/>
        </w:rPr>
        <w:t xml:space="preserve"> </w:t>
      </w:r>
      <w:r>
        <w:rPr>
          <w:rFonts w:cstheme="minorHAnsi"/>
        </w:rPr>
        <w:t>The total amount spilled per decade has reduced by about 95% since the 1970s</w:t>
      </w:r>
      <w:r w:rsidRPr="00D17D90">
        <w:rPr>
          <w:rFonts w:cstheme="minorHAnsi"/>
        </w:rPr>
        <w:t>.</w:t>
      </w:r>
    </w:p>
    <w:p w14:paraId="40BEC3D0" w14:textId="77777777" w:rsidR="004E0051" w:rsidRDefault="0089300D" w:rsidP="004E0051">
      <w:pPr>
        <w:spacing w:after="120" w:line="288" w:lineRule="auto"/>
        <w:jc w:val="both"/>
        <w:rPr>
          <w:rFonts w:cstheme="minorHAnsi"/>
        </w:rPr>
      </w:pPr>
      <w:r w:rsidRPr="00B83DE0">
        <w:rPr>
          <w:rFonts w:cstheme="minorHAnsi"/>
        </w:rPr>
        <w:t>In 201</w:t>
      </w:r>
      <w:r>
        <w:rPr>
          <w:rFonts w:cstheme="minorHAnsi"/>
        </w:rPr>
        <w:t>9</w:t>
      </w:r>
      <w:r w:rsidRPr="00B83DE0">
        <w:rPr>
          <w:rFonts w:cstheme="minorHAnsi"/>
        </w:rPr>
        <w:t xml:space="preserve">, </w:t>
      </w:r>
      <w:r w:rsidRPr="00F875BB">
        <w:rPr>
          <w:rFonts w:cstheme="minorHAnsi"/>
        </w:rPr>
        <w:t>one large spill (&gt;700 tonnes) and two medium spills (7–700 tonnes)</w:t>
      </w:r>
      <w:r>
        <w:rPr>
          <w:rFonts w:cstheme="minorHAnsi"/>
        </w:rPr>
        <w:t xml:space="preserve"> were reported. </w:t>
      </w:r>
      <w:r w:rsidRPr="00F875BB">
        <w:rPr>
          <w:rFonts w:cstheme="minorHAnsi"/>
        </w:rPr>
        <w:t xml:space="preserve">The large spill occurred in North America </w:t>
      </w:r>
      <w:r>
        <w:rPr>
          <w:rFonts w:cstheme="minorHAnsi"/>
        </w:rPr>
        <w:t>and b</w:t>
      </w:r>
      <w:r w:rsidRPr="00F875BB">
        <w:rPr>
          <w:rFonts w:cstheme="minorHAnsi"/>
        </w:rPr>
        <w:t>oth medium spills occurred in South Asia</w:t>
      </w:r>
      <w:r>
        <w:rPr>
          <w:rFonts w:cstheme="minorHAnsi"/>
        </w:rPr>
        <w:t xml:space="preserve">. </w:t>
      </w:r>
      <w:r w:rsidRPr="00F875BB">
        <w:rPr>
          <w:rFonts w:cstheme="minorHAnsi"/>
        </w:rPr>
        <w:t>Three spills, of size 7 tonnes or more, is the lowest recorded for any particular year in the last five decades.</w:t>
      </w:r>
      <w:bookmarkStart w:id="1" w:name="_Hlk534878987"/>
      <w:r>
        <w:rPr>
          <w:rFonts w:cstheme="minorHAnsi"/>
        </w:rPr>
        <w:t xml:space="preserve"> </w:t>
      </w:r>
      <w:bookmarkEnd w:id="1"/>
      <w:r w:rsidR="004E0051" w:rsidRPr="00925653">
        <w:rPr>
          <w:rFonts w:cstheme="minorHAnsi"/>
        </w:rPr>
        <w:t xml:space="preserve">The </w:t>
      </w:r>
      <w:r w:rsidR="004E0051">
        <w:rPr>
          <w:rFonts w:cstheme="minorHAnsi"/>
        </w:rPr>
        <w:t xml:space="preserve">estimated </w:t>
      </w:r>
      <w:r w:rsidR="004E0051" w:rsidRPr="00925653">
        <w:rPr>
          <w:rFonts w:cstheme="minorHAnsi"/>
        </w:rPr>
        <w:t>total amount of oil lost to the environment through tanker incidents in 201</w:t>
      </w:r>
      <w:r w:rsidR="004E0051">
        <w:rPr>
          <w:rFonts w:cstheme="minorHAnsi"/>
        </w:rPr>
        <w:t>9</w:t>
      </w:r>
      <w:r w:rsidR="004E0051" w:rsidRPr="00925653">
        <w:rPr>
          <w:rFonts w:cstheme="minorHAnsi"/>
        </w:rPr>
        <w:t xml:space="preserve"> was approximately </w:t>
      </w:r>
      <w:r w:rsidR="004E0051">
        <w:rPr>
          <w:rFonts w:cstheme="minorHAnsi"/>
        </w:rPr>
        <w:t>1</w:t>
      </w:r>
      <w:r w:rsidR="004E0051" w:rsidRPr="00C54457">
        <w:rPr>
          <w:rFonts w:cstheme="minorHAnsi"/>
        </w:rPr>
        <w:t>,000</w:t>
      </w:r>
      <w:r w:rsidR="004E0051" w:rsidRPr="00925653">
        <w:rPr>
          <w:rFonts w:cstheme="minorHAnsi"/>
        </w:rPr>
        <w:t xml:space="preserve"> tonnes</w:t>
      </w:r>
      <w:r w:rsidR="004E0051">
        <w:rPr>
          <w:rFonts w:cstheme="minorHAnsi"/>
        </w:rPr>
        <w:t>.</w:t>
      </w:r>
    </w:p>
    <w:p w14:paraId="3A1E67FD" w14:textId="716ACB51" w:rsidR="00BF7636" w:rsidRDefault="00BF7636" w:rsidP="00782A98">
      <w:pPr>
        <w:spacing w:after="120" w:line="288" w:lineRule="auto"/>
        <w:jc w:val="both"/>
        <w:rPr>
          <w:rFonts w:cstheme="minorHAnsi"/>
        </w:rPr>
      </w:pPr>
      <w:r w:rsidRPr="0037205A">
        <w:rPr>
          <w:rFonts w:cstheme="minorHAnsi"/>
        </w:rPr>
        <w:t>ITOPF’s 50 years of oil tanker spill data reflect the hard work by governments and industry in improving safety and standards of operations.</w:t>
      </w:r>
    </w:p>
    <w:p w14:paraId="70444F60" w14:textId="77777777" w:rsidR="00782A98" w:rsidRDefault="00782A98">
      <w:pPr>
        <w:rPr>
          <w:rFonts w:cstheme="minorHAnsi"/>
        </w:rPr>
      </w:pPr>
      <w:r>
        <w:rPr>
          <w:rFonts w:cstheme="minorHAnsi"/>
        </w:rPr>
        <w:br w:type="page"/>
      </w:r>
    </w:p>
    <w:p w14:paraId="4FE9CF74" w14:textId="77777777" w:rsidR="0089300D" w:rsidRDefault="0089300D" w:rsidP="0089300D">
      <w:pPr>
        <w:rPr>
          <w:rFonts w:cs="Tahoma"/>
          <w:b/>
          <w:sz w:val="28"/>
          <w:szCs w:val="28"/>
          <w:u w:val="single"/>
        </w:rPr>
      </w:pPr>
      <w:r>
        <w:rPr>
          <w:rFonts w:cs="Tahoma"/>
          <w:b/>
          <w:sz w:val="28"/>
          <w:szCs w:val="28"/>
          <w:u w:val="single"/>
        </w:rPr>
        <w:lastRenderedPageBreak/>
        <w:t>Notes for Editors</w:t>
      </w:r>
    </w:p>
    <w:p w14:paraId="57C8829C" w14:textId="77777777" w:rsidR="0089300D" w:rsidRPr="00DB736D" w:rsidRDefault="0089300D" w:rsidP="00DB32F2">
      <w:pPr>
        <w:spacing w:after="100" w:afterAutospacing="1" w:line="240" w:lineRule="auto"/>
      </w:pPr>
      <w:r w:rsidRPr="00DB736D">
        <w:t>ITOPF maintains a database of oil spills from tank vessels, including combined carriers, FPSOs and barges. This contains information on accidental spillages of persistent and non-persistent oil since 1970, except those resulting from acts of war. The data held includes the location and cause of the incident, the vessel involved, the type of oil spilt and the spill amount. For historical reasons, spills are generally categorised by size, &lt;7 tonnes, 7–700 tonnes and &gt;700 tonnes (&lt;50 bbls, 50–5,000 bbls, &gt;5,000 bbls), although the actual amount spilt is also recorded. Information is now held on over 10,000 incidents, the vast majority of which fall into the smallest category i.e. &lt;7 tonnes.</w:t>
      </w:r>
    </w:p>
    <w:p w14:paraId="3B3CD247" w14:textId="48F2EC5E" w:rsidR="00D5288B" w:rsidRDefault="0089300D" w:rsidP="00DB32F2">
      <w:pPr>
        <w:spacing w:after="100" w:afterAutospacing="1" w:line="240" w:lineRule="auto"/>
        <w:jc w:val="both"/>
        <w:rPr>
          <w:rFonts w:cstheme="minorHAnsi"/>
        </w:rPr>
      </w:pPr>
      <w:r>
        <w:rPr>
          <w:rFonts w:ascii="Calibri" w:hAnsi="Calibri"/>
        </w:rPr>
        <w:t xml:space="preserve">Further details are available on the </w:t>
      </w:r>
      <w:hyperlink r:id="rId9" w:history="1">
        <w:r w:rsidRPr="00AA3686">
          <w:rPr>
            <w:rStyle w:val="Hyperlink"/>
            <w:rFonts w:ascii="Calibri" w:hAnsi="Calibri"/>
          </w:rPr>
          <w:t>statistics</w:t>
        </w:r>
      </w:hyperlink>
      <w:r>
        <w:rPr>
          <w:rFonts w:ascii="Calibri" w:hAnsi="Calibri"/>
        </w:rPr>
        <w:t xml:space="preserve"> page of ITOPF’s website. </w:t>
      </w:r>
      <w:r w:rsidR="00D5288B">
        <w:rPr>
          <w:rFonts w:ascii="Calibri" w:hAnsi="Calibri"/>
        </w:rPr>
        <w:t xml:space="preserve"> </w:t>
      </w:r>
      <w:r w:rsidR="00D5288B">
        <w:rPr>
          <w:rFonts w:cstheme="minorHAnsi"/>
        </w:rPr>
        <w:t xml:space="preserve">A special edition of ITOPF’s annual statistics </w:t>
      </w:r>
      <w:r w:rsidR="00DB32F2">
        <w:rPr>
          <w:rFonts w:cstheme="minorHAnsi"/>
        </w:rPr>
        <w:t>publication presenting 50 years of data will be available soon.</w:t>
      </w:r>
    </w:p>
    <w:p w14:paraId="30EEFA29" w14:textId="5AFFD514" w:rsidR="006D2C7B" w:rsidRPr="000F2394" w:rsidRDefault="006D2C7B" w:rsidP="006D2C7B">
      <w:pPr>
        <w:rPr>
          <w:rFonts w:cs="Tahoma"/>
          <w:b/>
          <w:sz w:val="28"/>
          <w:szCs w:val="28"/>
          <w:u w:val="single"/>
        </w:rPr>
      </w:pPr>
      <w:r>
        <w:rPr>
          <w:rFonts w:cs="Tahoma"/>
          <w:b/>
          <w:sz w:val="28"/>
          <w:szCs w:val="28"/>
          <w:u w:val="single"/>
        </w:rPr>
        <w:t>Notes on ITOPF</w:t>
      </w:r>
    </w:p>
    <w:p w14:paraId="744C1A74" w14:textId="6439403B" w:rsidR="006D2C7B" w:rsidRPr="000F2394" w:rsidRDefault="006D2C7B" w:rsidP="006D2C7B">
      <w:pPr>
        <w:spacing w:after="0" w:line="240" w:lineRule="auto"/>
        <w:jc w:val="both"/>
        <w:rPr>
          <w:rFonts w:cs="Arial"/>
        </w:rPr>
      </w:pPr>
      <w:r w:rsidRPr="000F2394">
        <w:rPr>
          <w:rFonts w:cs="Arial"/>
        </w:rPr>
        <w:t xml:space="preserve">1. </w:t>
      </w:r>
      <w:r w:rsidR="0089300D">
        <w:rPr>
          <w:rFonts w:cs="Arial"/>
        </w:rPr>
        <w:t>Established</w:t>
      </w:r>
      <w:r w:rsidRPr="000F2394">
        <w:rPr>
          <w:rFonts w:cs="Arial"/>
        </w:rPr>
        <w:t xml:space="preserve"> in 1968</w:t>
      </w:r>
      <w:r w:rsidR="0089300D">
        <w:rPr>
          <w:rFonts w:cs="Arial"/>
        </w:rPr>
        <w:t xml:space="preserve">, ITOPF </w:t>
      </w:r>
      <w:r w:rsidR="00782A98">
        <w:rPr>
          <w:rFonts w:cs="Arial"/>
        </w:rPr>
        <w:t xml:space="preserve">is maintained by the world’s shipowners and their insurers on a not-for-profit basis to promote effective response to spills of oil, chemicals and other substances in the marine environment. </w:t>
      </w:r>
      <w:r w:rsidRPr="000F2394">
        <w:rPr>
          <w:rFonts w:cs="Arial"/>
        </w:rPr>
        <w:t xml:space="preserve"> </w:t>
      </w:r>
    </w:p>
    <w:p w14:paraId="269FC7FB" w14:textId="77777777" w:rsidR="006D2C7B" w:rsidRPr="000F2394" w:rsidRDefault="006D2C7B" w:rsidP="006D2C7B">
      <w:pPr>
        <w:spacing w:after="0" w:line="240" w:lineRule="auto"/>
        <w:jc w:val="both"/>
        <w:rPr>
          <w:rFonts w:cs="Arial"/>
        </w:rPr>
      </w:pPr>
    </w:p>
    <w:p w14:paraId="5AC7BB21" w14:textId="6BD269AF" w:rsidR="006D2C7B" w:rsidRPr="000F2394" w:rsidRDefault="006D2C7B" w:rsidP="006D2C7B">
      <w:pPr>
        <w:spacing w:after="0" w:line="240" w:lineRule="auto"/>
        <w:jc w:val="both"/>
        <w:rPr>
          <w:rFonts w:cs="Arial"/>
        </w:rPr>
      </w:pPr>
      <w:r w:rsidRPr="000F2394">
        <w:rPr>
          <w:rFonts w:cs="Arial"/>
        </w:rPr>
        <w:t xml:space="preserve">2. ITOPF's </w:t>
      </w:r>
      <w:r w:rsidR="00555253">
        <w:rPr>
          <w:rFonts w:cs="Arial"/>
        </w:rPr>
        <w:t xml:space="preserve">Membership currently comprises </w:t>
      </w:r>
      <w:r w:rsidR="00CF41D3">
        <w:rPr>
          <w:rFonts w:cs="Arial"/>
        </w:rPr>
        <w:t>around 8,000</w:t>
      </w:r>
      <w:r w:rsidRPr="000F2394">
        <w:rPr>
          <w:rFonts w:cs="Arial"/>
        </w:rPr>
        <w:t xml:space="preserve"> owners and bareboat charterers of approximately </w:t>
      </w:r>
      <w:r w:rsidR="00822CD1">
        <w:rPr>
          <w:rFonts w:cs="Arial"/>
        </w:rPr>
        <w:t>13</w:t>
      </w:r>
      <w:r w:rsidRPr="000F2394">
        <w:rPr>
          <w:rFonts w:cs="Arial"/>
        </w:rPr>
        <w:t>,</w:t>
      </w:r>
      <w:r w:rsidR="00822CD1">
        <w:rPr>
          <w:rFonts w:cs="Arial"/>
        </w:rPr>
        <w:t>6</w:t>
      </w:r>
      <w:r>
        <w:rPr>
          <w:rFonts w:cs="Arial"/>
        </w:rPr>
        <w:t>0</w:t>
      </w:r>
      <w:r w:rsidRPr="000F2394">
        <w:rPr>
          <w:rFonts w:cs="Arial"/>
        </w:rPr>
        <w:t xml:space="preserve">0 tank vessels with a total gross tonnage of </w:t>
      </w:r>
      <w:r w:rsidR="00CF41D3">
        <w:rPr>
          <w:rFonts w:cs="Arial"/>
        </w:rPr>
        <w:t>over 4</w:t>
      </w:r>
      <w:r w:rsidR="00822CD1">
        <w:rPr>
          <w:rFonts w:cs="Arial"/>
        </w:rPr>
        <w:t>3</w:t>
      </w:r>
      <w:r w:rsidR="00CF41D3">
        <w:rPr>
          <w:rFonts w:cs="Arial"/>
        </w:rPr>
        <w:t>0</w:t>
      </w:r>
      <w:r w:rsidRPr="000F2394">
        <w:rPr>
          <w:rFonts w:cs="Arial"/>
        </w:rPr>
        <w:t xml:space="preserve"> million GT.  The organisation also benefits from the participation of </w:t>
      </w:r>
      <w:r w:rsidR="0037659B">
        <w:rPr>
          <w:rFonts w:cs="Arial"/>
        </w:rPr>
        <w:t>over 8</w:t>
      </w:r>
      <w:r w:rsidR="00822CD1">
        <w:rPr>
          <w:rFonts w:cs="Arial"/>
        </w:rPr>
        <w:t>1</w:t>
      </w:r>
      <w:r w:rsidR="0037659B">
        <w:rPr>
          <w:rFonts w:cs="Arial"/>
        </w:rPr>
        <w:t>0</w:t>
      </w:r>
      <w:r>
        <w:rPr>
          <w:rFonts w:cs="Arial"/>
        </w:rPr>
        <w:t xml:space="preserve"> </w:t>
      </w:r>
      <w:r w:rsidRPr="000F2394">
        <w:rPr>
          <w:rFonts w:cs="Arial"/>
        </w:rPr>
        <w:t>million GT of non-tanker tonnage owned and operated by its Associates.</w:t>
      </w:r>
    </w:p>
    <w:p w14:paraId="3B62BDC0" w14:textId="77777777" w:rsidR="006D2C7B" w:rsidRPr="000F2394" w:rsidRDefault="006D2C7B" w:rsidP="006D2C7B">
      <w:pPr>
        <w:spacing w:after="0" w:line="240" w:lineRule="auto"/>
        <w:jc w:val="both"/>
        <w:rPr>
          <w:rFonts w:cs="Arial"/>
        </w:rPr>
      </w:pPr>
    </w:p>
    <w:p w14:paraId="44BBAB0D" w14:textId="77777777" w:rsidR="00644A91" w:rsidRDefault="006D2C7B" w:rsidP="006D2C7B">
      <w:pPr>
        <w:spacing w:after="0" w:line="240" w:lineRule="auto"/>
        <w:jc w:val="both"/>
      </w:pPr>
      <w:r w:rsidRPr="000F2394">
        <w:rPr>
          <w:rFonts w:cs="Arial"/>
        </w:rPr>
        <w:t>3.  ITOPF's priority service is responding to accidental marine spills and the organisation's</w:t>
      </w:r>
      <w:bookmarkStart w:id="2" w:name="_GoBack"/>
      <w:bookmarkEnd w:id="2"/>
      <w:r w:rsidRPr="000F2394">
        <w:rPr>
          <w:rFonts w:cs="Arial"/>
        </w:rPr>
        <w:t xml:space="preserve"> team of highly experienced technical staff are at constant readiness to travel anywhere in the world at a few </w:t>
      </w:r>
      <w:r w:rsidRPr="000F2394">
        <w:t xml:space="preserve">hours’ notice. ITOPF staff have attended on-site at </w:t>
      </w:r>
      <w:r w:rsidR="0037659B">
        <w:t>over</w:t>
      </w:r>
      <w:r w:rsidR="00555253">
        <w:t xml:space="preserve"> 800</w:t>
      </w:r>
      <w:r w:rsidRPr="000F2394">
        <w:t xml:space="preserve"> incidents around the world, giving the organisation unparalleled practical experience of the realities of combating marine spills. </w:t>
      </w:r>
    </w:p>
    <w:p w14:paraId="3AEA0A6B" w14:textId="77777777" w:rsidR="00644A91" w:rsidRDefault="00644A91" w:rsidP="006D2C7B">
      <w:pPr>
        <w:spacing w:after="0" w:line="240" w:lineRule="auto"/>
        <w:jc w:val="both"/>
      </w:pPr>
    </w:p>
    <w:p w14:paraId="561643A5" w14:textId="6E9DE86A" w:rsidR="006D2C7B" w:rsidRPr="000F2394" w:rsidRDefault="006D2C7B" w:rsidP="006D2C7B">
      <w:pPr>
        <w:spacing w:after="0" w:line="240" w:lineRule="auto"/>
        <w:jc w:val="both"/>
      </w:pPr>
      <w:r w:rsidRPr="000F2394">
        <w:t>ITOPF also:</w:t>
      </w:r>
    </w:p>
    <w:p w14:paraId="2F2DE310" w14:textId="77777777" w:rsidR="006D2C7B" w:rsidRPr="000F2394" w:rsidRDefault="006D2C7B" w:rsidP="006D2C7B">
      <w:pPr>
        <w:spacing w:after="0" w:line="240" w:lineRule="auto"/>
        <w:jc w:val="both"/>
      </w:pPr>
    </w:p>
    <w:p w14:paraId="0E6CB9A7" w14:textId="77777777" w:rsidR="006D2C7B" w:rsidRPr="000F2394" w:rsidRDefault="006D2C7B" w:rsidP="006D2C7B">
      <w:pPr>
        <w:pStyle w:val="ListParagraph"/>
        <w:numPr>
          <w:ilvl w:val="0"/>
          <w:numId w:val="2"/>
        </w:numPr>
        <w:spacing w:after="0" w:line="240" w:lineRule="auto"/>
        <w:jc w:val="both"/>
      </w:pPr>
      <w:r w:rsidRPr="000F2394">
        <w:t xml:space="preserve">assesses the damage caused by spills to the environment and economic resources; </w:t>
      </w:r>
    </w:p>
    <w:p w14:paraId="7C1AF12A" w14:textId="77777777" w:rsidR="006D2C7B" w:rsidRPr="000F2394" w:rsidRDefault="006D2C7B" w:rsidP="006D2C7B">
      <w:pPr>
        <w:pStyle w:val="ListParagraph"/>
        <w:numPr>
          <w:ilvl w:val="0"/>
          <w:numId w:val="2"/>
        </w:numPr>
        <w:spacing w:after="0" w:line="240" w:lineRule="auto"/>
        <w:jc w:val="both"/>
      </w:pPr>
      <w:r w:rsidRPr="000F2394">
        <w:t xml:space="preserve">provides advice on the technical merits of claims for compensation; </w:t>
      </w:r>
    </w:p>
    <w:p w14:paraId="30A2CC9F" w14:textId="77777777" w:rsidR="006D2C7B" w:rsidRPr="000F2394" w:rsidRDefault="006D2C7B" w:rsidP="006D2C7B">
      <w:pPr>
        <w:pStyle w:val="ListParagraph"/>
        <w:numPr>
          <w:ilvl w:val="0"/>
          <w:numId w:val="2"/>
        </w:numPr>
        <w:spacing w:after="0" w:line="240" w:lineRule="auto"/>
        <w:jc w:val="both"/>
      </w:pPr>
      <w:r w:rsidRPr="000F2394">
        <w:t xml:space="preserve">conducts contingency planning, advisory and training assignments; </w:t>
      </w:r>
    </w:p>
    <w:p w14:paraId="7E1724AA" w14:textId="2D218E41" w:rsidR="006D2C7B" w:rsidRPr="000F2394" w:rsidRDefault="00782A98" w:rsidP="00A326E8">
      <w:pPr>
        <w:pStyle w:val="ListParagraph"/>
        <w:numPr>
          <w:ilvl w:val="0"/>
          <w:numId w:val="2"/>
        </w:numPr>
        <w:spacing w:after="0" w:line="240" w:lineRule="auto"/>
        <w:jc w:val="both"/>
      </w:pPr>
      <w:r>
        <w:t>is a primary source of information on ship-source spills through its technical publications, films and website</w:t>
      </w:r>
      <w:r w:rsidR="00C76059">
        <w:t xml:space="preserve"> (</w:t>
      </w:r>
      <w:hyperlink r:id="rId10" w:history="1">
        <w:r w:rsidR="00C76059" w:rsidRPr="000D192C">
          <w:rPr>
            <w:rStyle w:val="Hyperlink"/>
          </w:rPr>
          <w:t>www.itopf.org</w:t>
        </w:r>
      </w:hyperlink>
      <w:r w:rsidR="00C76059">
        <w:rPr>
          <w:rStyle w:val="Hyperlink"/>
        </w:rPr>
        <w:t xml:space="preserve">). </w:t>
      </w:r>
    </w:p>
    <w:p w14:paraId="58E68FC2" w14:textId="77777777" w:rsidR="006D2C7B" w:rsidRPr="000F2394" w:rsidRDefault="006D2C7B" w:rsidP="006D2C7B">
      <w:pPr>
        <w:spacing w:after="0" w:line="240" w:lineRule="auto"/>
        <w:jc w:val="both"/>
      </w:pPr>
    </w:p>
    <w:p w14:paraId="2025E503" w14:textId="77777777" w:rsidR="006D2C7B" w:rsidRPr="000F2394" w:rsidRDefault="006D2C7B" w:rsidP="006D2C7B">
      <w:pPr>
        <w:spacing w:after="0" w:line="240" w:lineRule="auto"/>
        <w:jc w:val="both"/>
      </w:pPr>
      <w:r w:rsidRPr="000F2394">
        <w:t xml:space="preserve">4.  </w:t>
      </w:r>
      <w:r w:rsidRPr="000F2394">
        <w:tab/>
        <w:t>For further information contact:</w:t>
      </w:r>
    </w:p>
    <w:p w14:paraId="68CF6E44" w14:textId="77777777" w:rsidR="006D2C7B" w:rsidRPr="000F2394" w:rsidRDefault="006D2C7B" w:rsidP="006D2C7B">
      <w:pPr>
        <w:spacing w:after="0" w:line="240" w:lineRule="auto"/>
        <w:jc w:val="both"/>
      </w:pPr>
    </w:p>
    <w:p w14:paraId="78C62029" w14:textId="77777777" w:rsidR="006D2C7B" w:rsidRPr="000F2394" w:rsidRDefault="006D2C7B" w:rsidP="006D2C7B">
      <w:pPr>
        <w:spacing w:after="0" w:line="240" w:lineRule="auto"/>
        <w:jc w:val="both"/>
      </w:pPr>
      <w:r w:rsidRPr="000F2394">
        <w:tab/>
      </w:r>
      <w:r w:rsidRPr="000F2394">
        <w:tab/>
        <w:t xml:space="preserve">Dr </w:t>
      </w:r>
      <w:r>
        <w:t>Karen Purnell</w:t>
      </w:r>
      <w:r w:rsidRPr="000F2394">
        <w:t xml:space="preserve"> (</w:t>
      </w:r>
      <w:r>
        <w:t>Managing Director</w:t>
      </w:r>
      <w:r w:rsidRPr="000F2394">
        <w:t>)</w:t>
      </w:r>
    </w:p>
    <w:p w14:paraId="63CCAF97" w14:textId="26CE5F2E" w:rsidR="006D2C7B" w:rsidRPr="000F2394" w:rsidRDefault="006D2C7B" w:rsidP="006D2C7B">
      <w:pPr>
        <w:spacing w:after="0" w:line="240" w:lineRule="auto"/>
        <w:ind w:left="720" w:firstLine="720"/>
        <w:jc w:val="both"/>
      </w:pPr>
      <w:r w:rsidRPr="000F2394">
        <w:t>M</w:t>
      </w:r>
      <w:r>
        <w:t xml:space="preserve">rs </w:t>
      </w:r>
      <w:r w:rsidRPr="000F2394">
        <w:t xml:space="preserve">Deborah </w:t>
      </w:r>
      <w:r>
        <w:t>McKendrick</w:t>
      </w:r>
      <w:r w:rsidRPr="000F2394">
        <w:t xml:space="preserve"> (</w:t>
      </w:r>
      <w:r w:rsidR="00280D4A">
        <w:t xml:space="preserve">Senior </w:t>
      </w:r>
      <w:r w:rsidRPr="000F2394">
        <w:t>Information Officer)</w:t>
      </w:r>
    </w:p>
    <w:p w14:paraId="3E7926DF" w14:textId="71B9BD85" w:rsidR="006D2C7B" w:rsidRPr="000F2394" w:rsidRDefault="006D2C7B" w:rsidP="006D2C7B">
      <w:pPr>
        <w:spacing w:after="0" w:line="240" w:lineRule="auto"/>
        <w:jc w:val="both"/>
      </w:pPr>
      <w:r w:rsidRPr="000F2394">
        <w:tab/>
      </w:r>
      <w:r w:rsidRPr="000F2394">
        <w:tab/>
      </w:r>
      <w:r w:rsidR="00AD0B4B" w:rsidRPr="000F2394">
        <w:t>ITOPF</w:t>
      </w:r>
      <w:r w:rsidRPr="000F2394">
        <w:t xml:space="preserve"> Limited </w:t>
      </w:r>
    </w:p>
    <w:p w14:paraId="48D50BE2" w14:textId="0FE33990" w:rsidR="006D2C7B" w:rsidRPr="000F2394" w:rsidRDefault="006D2C7B" w:rsidP="006D2C7B">
      <w:pPr>
        <w:spacing w:after="0" w:line="240" w:lineRule="auto"/>
        <w:jc w:val="both"/>
      </w:pPr>
      <w:r w:rsidRPr="000F2394">
        <w:tab/>
      </w:r>
      <w:r w:rsidRPr="000F2394">
        <w:tab/>
        <w:t>1 Oliver’s Yard, 55 City Road, London EC1Y 1</w:t>
      </w:r>
      <w:r w:rsidR="00822CD1">
        <w:t>DT</w:t>
      </w:r>
      <w:r w:rsidR="00C76059">
        <w:t>, UK</w:t>
      </w:r>
    </w:p>
    <w:p w14:paraId="171CD436" w14:textId="77777777" w:rsidR="006D2C7B" w:rsidRPr="000F2394" w:rsidRDefault="006D2C7B" w:rsidP="006D2C7B">
      <w:pPr>
        <w:spacing w:after="0" w:line="240" w:lineRule="auto"/>
        <w:jc w:val="both"/>
      </w:pPr>
      <w:r w:rsidRPr="000F2394">
        <w:tab/>
      </w:r>
      <w:r w:rsidRPr="000F2394">
        <w:tab/>
        <w:t>Tel:  +44 (0)20 7566 6999</w:t>
      </w:r>
    </w:p>
    <w:p w14:paraId="20B02B5C" w14:textId="625C8463" w:rsidR="006D2C7B" w:rsidRPr="000F2394" w:rsidRDefault="006D2C7B" w:rsidP="006D2C7B">
      <w:pPr>
        <w:spacing w:after="0" w:line="240" w:lineRule="auto"/>
        <w:jc w:val="both"/>
        <w:rPr>
          <w:rFonts w:cs="Arial"/>
        </w:rPr>
      </w:pPr>
      <w:r w:rsidRPr="000F2394">
        <w:rPr>
          <w:rFonts w:cs="Arial"/>
        </w:rPr>
        <w:tab/>
      </w:r>
      <w:r w:rsidRPr="000F2394">
        <w:rPr>
          <w:rFonts w:cs="Arial"/>
        </w:rPr>
        <w:tab/>
      </w:r>
      <w:r>
        <w:rPr>
          <w:rFonts w:cs="Arial"/>
        </w:rPr>
        <w:t>Email:</w:t>
      </w:r>
      <w:hyperlink r:id="rId11" w:history="1">
        <w:r w:rsidR="00AD0B4B" w:rsidRPr="001236FD">
          <w:rPr>
            <w:rStyle w:val="Hyperlink"/>
            <w:rFonts w:cs="Arial"/>
          </w:rPr>
          <w:t xml:space="preserve"> deborahmckendrick@itopf.org</w:t>
        </w:r>
      </w:hyperlink>
    </w:p>
    <w:p w14:paraId="5B5815B6" w14:textId="03BB1B89" w:rsidR="006D2C7B" w:rsidRPr="000F2394" w:rsidRDefault="006D2C7B" w:rsidP="001F4001">
      <w:pPr>
        <w:spacing w:after="0" w:line="240" w:lineRule="auto"/>
        <w:jc w:val="both"/>
        <w:rPr>
          <w:rFonts w:cs="Tahoma"/>
          <w:b/>
          <w:sz w:val="28"/>
          <w:szCs w:val="28"/>
          <w:u w:val="single"/>
        </w:rPr>
      </w:pPr>
      <w:r w:rsidRPr="000F2394">
        <w:rPr>
          <w:rFonts w:cs="Arial"/>
        </w:rPr>
        <w:tab/>
      </w:r>
      <w:r w:rsidRPr="000F2394">
        <w:rPr>
          <w:rFonts w:cs="Arial"/>
        </w:rPr>
        <w:tab/>
        <w:t xml:space="preserve">Web: </w:t>
      </w:r>
      <w:hyperlink r:id="rId12" w:history="1">
        <w:r w:rsidR="0002747A" w:rsidRPr="001236FD">
          <w:rPr>
            <w:rStyle w:val="Hyperlink"/>
            <w:rFonts w:cs="Arial"/>
          </w:rPr>
          <w:t>www.itopf.org</w:t>
        </w:r>
      </w:hyperlink>
      <w:r w:rsidRPr="000F2394">
        <w:rPr>
          <w:rFonts w:cs="Arial"/>
        </w:rPr>
        <w:tab/>
      </w:r>
      <w:r w:rsidRPr="000F2394">
        <w:rPr>
          <w:rFonts w:cs="Arial"/>
        </w:rPr>
        <w:tab/>
      </w:r>
    </w:p>
    <w:sectPr w:rsidR="006D2C7B" w:rsidRPr="000F2394" w:rsidSect="002B4BAF">
      <w:headerReference w:type="even" r:id="rId13"/>
      <w:headerReference w:type="default" r:id="rId14"/>
      <w:footerReference w:type="even" r:id="rId15"/>
      <w:footerReference w:type="default" r:id="rId16"/>
      <w:pgSz w:w="11907" w:h="16839" w:code="9"/>
      <w:pgMar w:top="1021" w:right="1440" w:bottom="1021"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D795A" w14:textId="77777777" w:rsidR="00E93D77" w:rsidRDefault="00E93D77" w:rsidP="0095076F">
      <w:pPr>
        <w:spacing w:after="0" w:line="240" w:lineRule="auto"/>
      </w:pPr>
      <w:r>
        <w:separator/>
      </w:r>
    </w:p>
  </w:endnote>
  <w:endnote w:type="continuationSeparator" w:id="0">
    <w:p w14:paraId="179E9989" w14:textId="77777777" w:rsidR="00E93D77" w:rsidRDefault="00E93D77" w:rsidP="0095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9F7F" w14:textId="5C4C3A99" w:rsidR="00E93D77" w:rsidRPr="001D6A4D" w:rsidRDefault="00E93D77" w:rsidP="00ED37D6">
    <w:pPr>
      <w:pStyle w:val="Footer"/>
      <w:pBdr>
        <w:top w:val="single" w:sz="2" w:space="5" w:color="019069"/>
      </w:pBdr>
      <w:tabs>
        <w:tab w:val="clear" w:pos="4513"/>
        <w:tab w:val="left" w:pos="142"/>
      </w:tabs>
    </w:pPr>
    <w:r>
      <w:t xml:space="preserve">ITOPF </w:t>
    </w:r>
    <w:r w:rsidR="00782A98">
      <w:t>2020</w:t>
    </w:r>
  </w:p>
  <w:p w14:paraId="757AA7D2" w14:textId="77777777" w:rsidR="00E93D77" w:rsidRDefault="00E93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5F01" w14:textId="369D59E4" w:rsidR="00E93D77" w:rsidRPr="001D6A4D" w:rsidRDefault="00782A98" w:rsidP="00181ECA">
    <w:pPr>
      <w:pStyle w:val="Footer"/>
      <w:pBdr>
        <w:top w:val="single" w:sz="2" w:space="5" w:color="019069"/>
      </w:pBdr>
      <w:tabs>
        <w:tab w:val="clear" w:pos="4513"/>
        <w:tab w:val="left" w:pos="142"/>
      </w:tabs>
    </w:pPr>
    <w:r>
      <w:t>10</w:t>
    </w:r>
    <w:r w:rsidRPr="00782A98">
      <w:rPr>
        <w:vertAlign w:val="superscript"/>
      </w:rPr>
      <w:t>th</w:t>
    </w:r>
    <w:r>
      <w:t xml:space="preserve"> January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ED96E" w14:textId="77777777" w:rsidR="00E93D77" w:rsidRDefault="00E93D77" w:rsidP="0095076F">
      <w:pPr>
        <w:spacing w:after="0" w:line="240" w:lineRule="auto"/>
      </w:pPr>
      <w:r>
        <w:separator/>
      </w:r>
    </w:p>
  </w:footnote>
  <w:footnote w:type="continuationSeparator" w:id="0">
    <w:p w14:paraId="5F43AFFC" w14:textId="77777777" w:rsidR="00E93D77" w:rsidRDefault="00E93D77" w:rsidP="00950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12" w:space="0" w:color="00A886"/>
        <w:right w:val="none" w:sz="0" w:space="0" w:color="auto"/>
        <w:insideH w:val="none" w:sz="0" w:space="0" w:color="auto"/>
        <w:insideV w:val="none" w:sz="0" w:space="0" w:color="auto"/>
      </w:tblBorders>
      <w:tblLook w:val="04A0" w:firstRow="1" w:lastRow="0" w:firstColumn="1" w:lastColumn="0" w:noHBand="0" w:noVBand="1"/>
    </w:tblPr>
    <w:tblGrid>
      <w:gridCol w:w="1119"/>
      <w:gridCol w:w="7878"/>
    </w:tblGrid>
    <w:tr w:rsidR="0012085F" w:rsidRPr="00CD77F2" w14:paraId="44C1CD60" w14:textId="77777777" w:rsidTr="00685563">
      <w:tc>
        <w:tcPr>
          <w:tcW w:w="1119" w:type="dxa"/>
        </w:tcPr>
        <w:p w14:paraId="59B410AB" w14:textId="77777777" w:rsidR="0012085F" w:rsidRDefault="0012085F" w:rsidP="0012085F">
          <w:pPr>
            <w:pStyle w:val="Header"/>
            <w:rPr>
              <w:rFonts w:ascii="Franklin Gothic Book" w:hAnsi="Franklin Gothic Book"/>
              <w:b/>
              <w:noProof/>
              <w:sz w:val="72"/>
              <w:szCs w:val="72"/>
              <w:lang w:val="en-GB" w:eastAsia="en-GB"/>
            </w:rPr>
          </w:pPr>
          <w:r>
            <w:rPr>
              <w:rFonts w:ascii="Franklin Gothic Book" w:hAnsi="Franklin Gothic Book"/>
              <w:b/>
              <w:noProof/>
              <w:sz w:val="72"/>
              <w:szCs w:val="72"/>
              <w:lang w:val="en-GB" w:eastAsia="en-GB"/>
            </w:rPr>
            <w:drawing>
              <wp:inline distT="0" distB="0" distL="0" distR="0" wp14:anchorId="59F0A6F4" wp14:editId="0041C705">
                <wp:extent cx="546455" cy="590550"/>
                <wp:effectExtent l="0" t="0" r="6350" b="0"/>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PF Logo (provided by Martin Barr) copy.jpg"/>
                        <pic:cNvPicPr/>
                      </pic:nvPicPr>
                      <pic:blipFill>
                        <a:blip r:embed="rId1">
                          <a:extLst>
                            <a:ext uri="{28A0092B-C50C-407E-A947-70E740481C1C}">
                              <a14:useLocalDpi xmlns:a14="http://schemas.microsoft.com/office/drawing/2010/main" val="0"/>
                            </a:ext>
                          </a:extLst>
                        </a:blip>
                        <a:stretch>
                          <a:fillRect/>
                        </a:stretch>
                      </pic:blipFill>
                      <pic:spPr>
                        <a:xfrm>
                          <a:off x="0" y="0"/>
                          <a:ext cx="555267" cy="600073"/>
                        </a:xfrm>
                        <a:prstGeom prst="rect">
                          <a:avLst/>
                        </a:prstGeom>
                      </pic:spPr>
                    </pic:pic>
                  </a:graphicData>
                </a:graphic>
              </wp:inline>
            </w:drawing>
          </w:r>
        </w:p>
      </w:tc>
      <w:tc>
        <w:tcPr>
          <w:tcW w:w="7878" w:type="dxa"/>
        </w:tcPr>
        <w:p w14:paraId="6BF0653B" w14:textId="5392E004" w:rsidR="0012085F" w:rsidRPr="0012085F" w:rsidRDefault="0089300D" w:rsidP="0012085F">
          <w:pPr>
            <w:pStyle w:val="NormalWeb"/>
            <w:shd w:val="clear" w:color="auto" w:fill="FFFFFF"/>
            <w:tabs>
              <w:tab w:val="left" w:pos="7938"/>
            </w:tabs>
            <w:spacing w:before="0" w:after="0"/>
            <w:jc w:val="right"/>
            <w:rPr>
              <w:rFonts w:asciiTheme="minorHAnsi" w:hAnsiTheme="minorHAnsi"/>
              <w:b/>
              <w:color w:val="242C5C"/>
              <w:sz w:val="48"/>
              <w:szCs w:val="48"/>
            </w:rPr>
          </w:pPr>
          <w:r>
            <w:rPr>
              <w:rFonts w:asciiTheme="minorHAnsi" w:hAnsiTheme="minorHAnsi"/>
              <w:b/>
              <w:color w:val="242C5C"/>
              <w:sz w:val="48"/>
              <w:szCs w:val="48"/>
            </w:rPr>
            <w:t xml:space="preserve">2019 Oil Tanker Spill Statistics </w:t>
          </w:r>
        </w:p>
        <w:p w14:paraId="006884F8" w14:textId="77777777" w:rsidR="0012085F" w:rsidRPr="00CD77F2" w:rsidRDefault="0012085F" w:rsidP="0012085F">
          <w:pPr>
            <w:pStyle w:val="Header"/>
            <w:rPr>
              <w:rFonts w:ascii="Franklin Gothic Book" w:hAnsi="Franklin Gothic Book"/>
              <w:b/>
              <w:sz w:val="72"/>
              <w:szCs w:val="72"/>
            </w:rPr>
          </w:pPr>
        </w:p>
      </w:tc>
    </w:tr>
  </w:tbl>
  <w:p w14:paraId="5BDA93A0" w14:textId="71FD190E" w:rsidR="00E93D77" w:rsidRPr="004B53B3" w:rsidRDefault="00E93D77" w:rsidP="0012085F">
    <w:pPr>
      <w:pStyle w:val="NormalWeb"/>
      <w:shd w:val="clear" w:color="auto" w:fill="FFFFFF"/>
      <w:tabs>
        <w:tab w:val="left" w:pos="7938"/>
      </w:tabs>
      <w:spacing w:before="0" w:after="0"/>
      <w:jc w:val="right"/>
      <w:rPr>
        <w:color w:val="005A9C"/>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12" w:space="0" w:color="00A886"/>
        <w:right w:val="none" w:sz="0" w:space="0" w:color="auto"/>
        <w:insideH w:val="none" w:sz="0" w:space="0" w:color="auto"/>
        <w:insideV w:val="none" w:sz="0" w:space="0" w:color="auto"/>
      </w:tblBorders>
      <w:tblLook w:val="04A0" w:firstRow="1" w:lastRow="0" w:firstColumn="1" w:lastColumn="0" w:noHBand="0" w:noVBand="1"/>
    </w:tblPr>
    <w:tblGrid>
      <w:gridCol w:w="1119"/>
      <w:gridCol w:w="7878"/>
    </w:tblGrid>
    <w:tr w:rsidR="00F021A3" w:rsidRPr="00CD77F2" w14:paraId="1EF75A40" w14:textId="77777777" w:rsidTr="00F021A3">
      <w:tc>
        <w:tcPr>
          <w:tcW w:w="1119" w:type="dxa"/>
        </w:tcPr>
        <w:p w14:paraId="2AD737D9" w14:textId="7DA2E5FA" w:rsidR="00F021A3" w:rsidRDefault="00F021A3" w:rsidP="00F021A3">
          <w:pPr>
            <w:pStyle w:val="Header"/>
            <w:rPr>
              <w:rFonts w:ascii="Franklin Gothic Book" w:hAnsi="Franklin Gothic Book"/>
              <w:b/>
              <w:noProof/>
              <w:sz w:val="72"/>
              <w:szCs w:val="72"/>
              <w:lang w:val="en-GB" w:eastAsia="en-GB"/>
            </w:rPr>
          </w:pPr>
          <w:r>
            <w:rPr>
              <w:rFonts w:ascii="Franklin Gothic Book" w:hAnsi="Franklin Gothic Book"/>
              <w:b/>
              <w:noProof/>
              <w:sz w:val="72"/>
              <w:szCs w:val="72"/>
              <w:lang w:val="en-GB" w:eastAsia="en-GB"/>
            </w:rPr>
            <w:drawing>
              <wp:inline distT="0" distB="0" distL="0" distR="0" wp14:anchorId="6D5DA7A6" wp14:editId="712551C3">
                <wp:extent cx="546455" cy="590550"/>
                <wp:effectExtent l="0" t="0" r="6350" b="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PF Logo (provided by Martin Barr) copy.jpg"/>
                        <pic:cNvPicPr/>
                      </pic:nvPicPr>
                      <pic:blipFill>
                        <a:blip r:embed="rId1">
                          <a:extLst>
                            <a:ext uri="{28A0092B-C50C-407E-A947-70E740481C1C}">
                              <a14:useLocalDpi xmlns:a14="http://schemas.microsoft.com/office/drawing/2010/main" val="0"/>
                            </a:ext>
                          </a:extLst>
                        </a:blip>
                        <a:stretch>
                          <a:fillRect/>
                        </a:stretch>
                      </pic:blipFill>
                      <pic:spPr>
                        <a:xfrm>
                          <a:off x="0" y="0"/>
                          <a:ext cx="555267" cy="600073"/>
                        </a:xfrm>
                        <a:prstGeom prst="rect">
                          <a:avLst/>
                        </a:prstGeom>
                      </pic:spPr>
                    </pic:pic>
                  </a:graphicData>
                </a:graphic>
              </wp:inline>
            </w:drawing>
          </w:r>
        </w:p>
      </w:tc>
      <w:tc>
        <w:tcPr>
          <w:tcW w:w="7878" w:type="dxa"/>
        </w:tcPr>
        <w:p w14:paraId="70B213F2" w14:textId="74BC8CCD" w:rsidR="00CF41D3" w:rsidRPr="009242DE" w:rsidRDefault="009242DE" w:rsidP="00CF41D3">
          <w:pPr>
            <w:pStyle w:val="NormalWeb"/>
            <w:shd w:val="clear" w:color="auto" w:fill="FFFFFF"/>
            <w:tabs>
              <w:tab w:val="left" w:pos="7938"/>
            </w:tabs>
            <w:spacing w:before="0" w:after="0"/>
            <w:jc w:val="right"/>
            <w:rPr>
              <w:rFonts w:asciiTheme="minorHAnsi" w:hAnsiTheme="minorHAnsi"/>
              <w:b/>
              <w:color w:val="242C5C"/>
              <w:sz w:val="72"/>
              <w:szCs w:val="72"/>
            </w:rPr>
          </w:pPr>
          <w:r w:rsidRPr="009242DE">
            <w:rPr>
              <w:rFonts w:asciiTheme="minorHAnsi" w:hAnsiTheme="minorHAnsi"/>
              <w:b/>
              <w:color w:val="242C5C"/>
              <w:sz w:val="72"/>
              <w:szCs w:val="72"/>
            </w:rPr>
            <w:t>PRESS RELEASE</w:t>
          </w:r>
        </w:p>
        <w:p w14:paraId="1AA3F4E9" w14:textId="7CF24014" w:rsidR="00F021A3" w:rsidRPr="006F2646" w:rsidRDefault="00F021A3" w:rsidP="004B53B3">
          <w:pPr>
            <w:pStyle w:val="Header"/>
            <w:rPr>
              <w:rFonts w:ascii="Franklin Gothic Book" w:hAnsi="Franklin Gothic Book"/>
              <w:b/>
              <w:sz w:val="32"/>
              <w:szCs w:val="32"/>
            </w:rPr>
          </w:pPr>
        </w:p>
      </w:tc>
    </w:tr>
  </w:tbl>
  <w:p w14:paraId="124E074B" w14:textId="77777777" w:rsidR="00E93D77" w:rsidRDefault="00E93D77" w:rsidP="00362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A1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A7A786D"/>
    <w:multiLevelType w:val="hybridMultilevel"/>
    <w:tmpl w:val="236E8768"/>
    <w:lvl w:ilvl="0" w:tplc="9FC4BD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234C5E"/>
    <w:multiLevelType w:val="hybridMultilevel"/>
    <w:tmpl w:val="F2321EB2"/>
    <w:lvl w:ilvl="0" w:tplc="175A30F4">
      <w:start w:val="1"/>
      <w:numFmt w:val="decimal"/>
      <w:lvlText w:val="%1."/>
      <w:lvlJc w:val="left"/>
      <w:pPr>
        <w:ind w:left="720" w:hanging="360"/>
      </w:pPr>
      <w:rPr>
        <w:rFonts w:hint="default"/>
        <w:color w:val="00A88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CD5968"/>
    <w:multiLevelType w:val="hybridMultilevel"/>
    <w:tmpl w:val="8A7C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1F6"/>
    <w:rsid w:val="00000CAC"/>
    <w:rsid w:val="0000139D"/>
    <w:rsid w:val="000139DA"/>
    <w:rsid w:val="0002747A"/>
    <w:rsid w:val="00030A5A"/>
    <w:rsid w:val="000606E9"/>
    <w:rsid w:val="00062391"/>
    <w:rsid w:val="00070BD4"/>
    <w:rsid w:val="00070DCA"/>
    <w:rsid w:val="00075302"/>
    <w:rsid w:val="00076AE5"/>
    <w:rsid w:val="00080BB0"/>
    <w:rsid w:val="0008441D"/>
    <w:rsid w:val="00095077"/>
    <w:rsid w:val="000A0821"/>
    <w:rsid w:val="000A46F1"/>
    <w:rsid w:val="000B59D8"/>
    <w:rsid w:val="000C08B3"/>
    <w:rsid w:val="000C6A4E"/>
    <w:rsid w:val="000D6EFE"/>
    <w:rsid w:val="000D7825"/>
    <w:rsid w:val="000E064D"/>
    <w:rsid w:val="000F2394"/>
    <w:rsid w:val="000F4FB1"/>
    <w:rsid w:val="000F5854"/>
    <w:rsid w:val="000F680F"/>
    <w:rsid w:val="000F765E"/>
    <w:rsid w:val="0012085F"/>
    <w:rsid w:val="00122E89"/>
    <w:rsid w:val="00125C19"/>
    <w:rsid w:val="00127286"/>
    <w:rsid w:val="00152CA6"/>
    <w:rsid w:val="00171A77"/>
    <w:rsid w:val="00180F21"/>
    <w:rsid w:val="00181470"/>
    <w:rsid w:val="00181ECA"/>
    <w:rsid w:val="00185AE9"/>
    <w:rsid w:val="00190656"/>
    <w:rsid w:val="001A2A57"/>
    <w:rsid w:val="001A7AA5"/>
    <w:rsid w:val="001E7386"/>
    <w:rsid w:val="001F4001"/>
    <w:rsid w:val="001F74CD"/>
    <w:rsid w:val="001F77D1"/>
    <w:rsid w:val="001F7AFC"/>
    <w:rsid w:val="00202E59"/>
    <w:rsid w:val="002137C3"/>
    <w:rsid w:val="0021754C"/>
    <w:rsid w:val="00231687"/>
    <w:rsid w:val="00237818"/>
    <w:rsid w:val="0024122D"/>
    <w:rsid w:val="00246A2C"/>
    <w:rsid w:val="00247041"/>
    <w:rsid w:val="00250C0B"/>
    <w:rsid w:val="00267F73"/>
    <w:rsid w:val="00276602"/>
    <w:rsid w:val="0027672C"/>
    <w:rsid w:val="00280D4A"/>
    <w:rsid w:val="002B2DCA"/>
    <w:rsid w:val="002B40BF"/>
    <w:rsid w:val="002B4BAF"/>
    <w:rsid w:val="002F317E"/>
    <w:rsid w:val="002F74AC"/>
    <w:rsid w:val="00320C87"/>
    <w:rsid w:val="003211C0"/>
    <w:rsid w:val="003239A7"/>
    <w:rsid w:val="00333433"/>
    <w:rsid w:val="003362F3"/>
    <w:rsid w:val="003474B2"/>
    <w:rsid w:val="00362234"/>
    <w:rsid w:val="0037205A"/>
    <w:rsid w:val="0037659B"/>
    <w:rsid w:val="00376688"/>
    <w:rsid w:val="00380443"/>
    <w:rsid w:val="00387E0E"/>
    <w:rsid w:val="0039163E"/>
    <w:rsid w:val="00392829"/>
    <w:rsid w:val="00393E84"/>
    <w:rsid w:val="003A0707"/>
    <w:rsid w:val="003A56D8"/>
    <w:rsid w:val="003B4C09"/>
    <w:rsid w:val="003C7DF9"/>
    <w:rsid w:val="003D0CCB"/>
    <w:rsid w:val="003D29BE"/>
    <w:rsid w:val="003D7695"/>
    <w:rsid w:val="003E4FC1"/>
    <w:rsid w:val="003E695D"/>
    <w:rsid w:val="004019B5"/>
    <w:rsid w:val="00412923"/>
    <w:rsid w:val="00422DF1"/>
    <w:rsid w:val="004420F5"/>
    <w:rsid w:val="00453DA1"/>
    <w:rsid w:val="004628FC"/>
    <w:rsid w:val="0046572F"/>
    <w:rsid w:val="004659B6"/>
    <w:rsid w:val="0049364D"/>
    <w:rsid w:val="00494492"/>
    <w:rsid w:val="004A7F8C"/>
    <w:rsid w:val="004B263E"/>
    <w:rsid w:val="004B53B3"/>
    <w:rsid w:val="004C6195"/>
    <w:rsid w:val="004C6A8A"/>
    <w:rsid w:val="004E0051"/>
    <w:rsid w:val="00505E24"/>
    <w:rsid w:val="00512BC6"/>
    <w:rsid w:val="0052045E"/>
    <w:rsid w:val="0053619F"/>
    <w:rsid w:val="00543CE8"/>
    <w:rsid w:val="00555253"/>
    <w:rsid w:val="00556B34"/>
    <w:rsid w:val="0056353F"/>
    <w:rsid w:val="0058048D"/>
    <w:rsid w:val="00587D0B"/>
    <w:rsid w:val="0059359B"/>
    <w:rsid w:val="005B6418"/>
    <w:rsid w:val="005C31EC"/>
    <w:rsid w:val="005C359E"/>
    <w:rsid w:val="005D14F1"/>
    <w:rsid w:val="005D42AA"/>
    <w:rsid w:val="005D62CB"/>
    <w:rsid w:val="005E0A17"/>
    <w:rsid w:val="005F7677"/>
    <w:rsid w:val="0062069B"/>
    <w:rsid w:val="00621C58"/>
    <w:rsid w:val="00621E74"/>
    <w:rsid w:val="00624746"/>
    <w:rsid w:val="00636E3F"/>
    <w:rsid w:val="00640759"/>
    <w:rsid w:val="00644A91"/>
    <w:rsid w:val="00647913"/>
    <w:rsid w:val="00653351"/>
    <w:rsid w:val="0066110D"/>
    <w:rsid w:val="006765D7"/>
    <w:rsid w:val="0068558C"/>
    <w:rsid w:val="006876E5"/>
    <w:rsid w:val="0069613C"/>
    <w:rsid w:val="006A7F43"/>
    <w:rsid w:val="006B62DA"/>
    <w:rsid w:val="006D2C7B"/>
    <w:rsid w:val="006D5056"/>
    <w:rsid w:val="006D7DBF"/>
    <w:rsid w:val="006E46CB"/>
    <w:rsid w:val="006F2646"/>
    <w:rsid w:val="007014A6"/>
    <w:rsid w:val="00703905"/>
    <w:rsid w:val="00724512"/>
    <w:rsid w:val="00737094"/>
    <w:rsid w:val="0074689A"/>
    <w:rsid w:val="00761107"/>
    <w:rsid w:val="007626C1"/>
    <w:rsid w:val="00765808"/>
    <w:rsid w:val="007667D7"/>
    <w:rsid w:val="00773E7D"/>
    <w:rsid w:val="00782A98"/>
    <w:rsid w:val="00785483"/>
    <w:rsid w:val="00793A05"/>
    <w:rsid w:val="00793FA9"/>
    <w:rsid w:val="007B50DB"/>
    <w:rsid w:val="007B74AF"/>
    <w:rsid w:val="007C076C"/>
    <w:rsid w:val="007C1393"/>
    <w:rsid w:val="007C1A41"/>
    <w:rsid w:val="007C43B2"/>
    <w:rsid w:val="007C5540"/>
    <w:rsid w:val="007D1BB3"/>
    <w:rsid w:val="007D257B"/>
    <w:rsid w:val="007D25AC"/>
    <w:rsid w:val="007D31F6"/>
    <w:rsid w:val="007E3875"/>
    <w:rsid w:val="007E555C"/>
    <w:rsid w:val="007E6BBB"/>
    <w:rsid w:val="007F1976"/>
    <w:rsid w:val="007F2FCF"/>
    <w:rsid w:val="007F4007"/>
    <w:rsid w:val="007F6170"/>
    <w:rsid w:val="008076CD"/>
    <w:rsid w:val="008136C2"/>
    <w:rsid w:val="00822CD1"/>
    <w:rsid w:val="00824EEC"/>
    <w:rsid w:val="008250C2"/>
    <w:rsid w:val="0083313E"/>
    <w:rsid w:val="00833D7E"/>
    <w:rsid w:val="00846234"/>
    <w:rsid w:val="008539D9"/>
    <w:rsid w:val="0087219E"/>
    <w:rsid w:val="0088375F"/>
    <w:rsid w:val="00890C23"/>
    <w:rsid w:val="0089159B"/>
    <w:rsid w:val="0089300D"/>
    <w:rsid w:val="00895C3F"/>
    <w:rsid w:val="00896C25"/>
    <w:rsid w:val="008A1050"/>
    <w:rsid w:val="008A7788"/>
    <w:rsid w:val="008B71E8"/>
    <w:rsid w:val="008C0A5F"/>
    <w:rsid w:val="008C0F6E"/>
    <w:rsid w:val="008C1BA7"/>
    <w:rsid w:val="008D61AF"/>
    <w:rsid w:val="008D6E77"/>
    <w:rsid w:val="008E25AD"/>
    <w:rsid w:val="008F09B3"/>
    <w:rsid w:val="00903B7C"/>
    <w:rsid w:val="009126B7"/>
    <w:rsid w:val="009242DE"/>
    <w:rsid w:val="009352CB"/>
    <w:rsid w:val="00935D85"/>
    <w:rsid w:val="0095076F"/>
    <w:rsid w:val="00956B77"/>
    <w:rsid w:val="00957699"/>
    <w:rsid w:val="00966C3A"/>
    <w:rsid w:val="00973A9C"/>
    <w:rsid w:val="00977002"/>
    <w:rsid w:val="00980361"/>
    <w:rsid w:val="0098466C"/>
    <w:rsid w:val="00986071"/>
    <w:rsid w:val="009A0C6A"/>
    <w:rsid w:val="009A515F"/>
    <w:rsid w:val="009C267A"/>
    <w:rsid w:val="009F7155"/>
    <w:rsid w:val="00A111AA"/>
    <w:rsid w:val="00A2192E"/>
    <w:rsid w:val="00A21BD7"/>
    <w:rsid w:val="00A55273"/>
    <w:rsid w:val="00A5545C"/>
    <w:rsid w:val="00A57D12"/>
    <w:rsid w:val="00A90548"/>
    <w:rsid w:val="00A9544F"/>
    <w:rsid w:val="00A96EB8"/>
    <w:rsid w:val="00AA28B2"/>
    <w:rsid w:val="00AA3686"/>
    <w:rsid w:val="00AA67D6"/>
    <w:rsid w:val="00AC4E77"/>
    <w:rsid w:val="00AD0B4B"/>
    <w:rsid w:val="00AE7B89"/>
    <w:rsid w:val="00AF0560"/>
    <w:rsid w:val="00AF7045"/>
    <w:rsid w:val="00B029D8"/>
    <w:rsid w:val="00B10CA9"/>
    <w:rsid w:val="00B27889"/>
    <w:rsid w:val="00B278EE"/>
    <w:rsid w:val="00B31476"/>
    <w:rsid w:val="00B73372"/>
    <w:rsid w:val="00B733E0"/>
    <w:rsid w:val="00B85FA1"/>
    <w:rsid w:val="00B97068"/>
    <w:rsid w:val="00BD2402"/>
    <w:rsid w:val="00BD5D91"/>
    <w:rsid w:val="00BE3060"/>
    <w:rsid w:val="00BF7536"/>
    <w:rsid w:val="00BF7636"/>
    <w:rsid w:val="00C10CDE"/>
    <w:rsid w:val="00C17651"/>
    <w:rsid w:val="00C4339C"/>
    <w:rsid w:val="00C56C11"/>
    <w:rsid w:val="00C64114"/>
    <w:rsid w:val="00C65309"/>
    <w:rsid w:val="00C67202"/>
    <w:rsid w:val="00C76059"/>
    <w:rsid w:val="00C801A8"/>
    <w:rsid w:val="00C80F8D"/>
    <w:rsid w:val="00C86522"/>
    <w:rsid w:val="00C97C35"/>
    <w:rsid w:val="00CD77F2"/>
    <w:rsid w:val="00CE1134"/>
    <w:rsid w:val="00CE709E"/>
    <w:rsid w:val="00CF2221"/>
    <w:rsid w:val="00CF3DBA"/>
    <w:rsid w:val="00CF41D3"/>
    <w:rsid w:val="00CF7614"/>
    <w:rsid w:val="00D00EB9"/>
    <w:rsid w:val="00D01E26"/>
    <w:rsid w:val="00D0246C"/>
    <w:rsid w:val="00D151CB"/>
    <w:rsid w:val="00D1635E"/>
    <w:rsid w:val="00D16F6B"/>
    <w:rsid w:val="00D2280E"/>
    <w:rsid w:val="00D360F9"/>
    <w:rsid w:val="00D403D3"/>
    <w:rsid w:val="00D504C4"/>
    <w:rsid w:val="00D5288B"/>
    <w:rsid w:val="00D7642E"/>
    <w:rsid w:val="00D96127"/>
    <w:rsid w:val="00DA1A92"/>
    <w:rsid w:val="00DB32F2"/>
    <w:rsid w:val="00DD46D2"/>
    <w:rsid w:val="00DE2026"/>
    <w:rsid w:val="00E312D6"/>
    <w:rsid w:val="00E32B15"/>
    <w:rsid w:val="00E34C55"/>
    <w:rsid w:val="00E40D6A"/>
    <w:rsid w:val="00E41C7F"/>
    <w:rsid w:val="00E42ADB"/>
    <w:rsid w:val="00E803E5"/>
    <w:rsid w:val="00E81C13"/>
    <w:rsid w:val="00E85042"/>
    <w:rsid w:val="00E93D77"/>
    <w:rsid w:val="00EA0670"/>
    <w:rsid w:val="00EA6B79"/>
    <w:rsid w:val="00EB09CC"/>
    <w:rsid w:val="00EC1A3D"/>
    <w:rsid w:val="00ED37D6"/>
    <w:rsid w:val="00EE4FC0"/>
    <w:rsid w:val="00EF4534"/>
    <w:rsid w:val="00F021A3"/>
    <w:rsid w:val="00F2464C"/>
    <w:rsid w:val="00F25319"/>
    <w:rsid w:val="00F31C2A"/>
    <w:rsid w:val="00F40105"/>
    <w:rsid w:val="00F54205"/>
    <w:rsid w:val="00F5503C"/>
    <w:rsid w:val="00F573E7"/>
    <w:rsid w:val="00F71A5A"/>
    <w:rsid w:val="00F86FBD"/>
    <w:rsid w:val="00F9429F"/>
    <w:rsid w:val="00FB3C04"/>
    <w:rsid w:val="00FB455E"/>
    <w:rsid w:val="00FB54C7"/>
    <w:rsid w:val="00FD015D"/>
    <w:rsid w:val="00FD073D"/>
    <w:rsid w:val="00FD441F"/>
    <w:rsid w:val="00FD5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A50A0C8"/>
  <w15:docId w15:val="{4E71D965-0F93-4F8D-98CD-2851E1C6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1F6"/>
    <w:rPr>
      <w:color w:val="00A786"/>
      <w:u w:val="single"/>
    </w:rPr>
  </w:style>
  <w:style w:type="paragraph" w:styleId="BalloonText">
    <w:name w:val="Balloon Text"/>
    <w:basedOn w:val="Normal"/>
    <w:link w:val="BalloonTextChar"/>
    <w:uiPriority w:val="99"/>
    <w:semiHidden/>
    <w:unhideWhenUsed/>
    <w:rsid w:val="007D3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1F6"/>
    <w:rPr>
      <w:rFonts w:ascii="Tahoma" w:hAnsi="Tahoma" w:cs="Tahoma"/>
      <w:sz w:val="16"/>
      <w:szCs w:val="16"/>
    </w:rPr>
  </w:style>
  <w:style w:type="paragraph" w:styleId="NormalWeb">
    <w:name w:val="Normal (Web)"/>
    <w:basedOn w:val="Normal"/>
    <w:uiPriority w:val="99"/>
    <w:unhideWhenUsed/>
    <w:rsid w:val="00A2192E"/>
    <w:pPr>
      <w:spacing w:before="192" w:after="192"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A55273"/>
    <w:rPr>
      <w:sz w:val="16"/>
      <w:szCs w:val="16"/>
    </w:rPr>
  </w:style>
  <w:style w:type="paragraph" w:styleId="CommentText">
    <w:name w:val="annotation text"/>
    <w:basedOn w:val="Normal"/>
    <w:link w:val="CommentTextChar"/>
    <w:uiPriority w:val="99"/>
    <w:semiHidden/>
    <w:unhideWhenUsed/>
    <w:rsid w:val="00A55273"/>
    <w:pPr>
      <w:spacing w:line="240" w:lineRule="auto"/>
    </w:pPr>
    <w:rPr>
      <w:sz w:val="20"/>
      <w:szCs w:val="20"/>
    </w:rPr>
  </w:style>
  <w:style w:type="character" w:customStyle="1" w:styleId="CommentTextChar">
    <w:name w:val="Comment Text Char"/>
    <w:basedOn w:val="DefaultParagraphFont"/>
    <w:link w:val="CommentText"/>
    <w:uiPriority w:val="99"/>
    <w:semiHidden/>
    <w:rsid w:val="00A55273"/>
    <w:rPr>
      <w:sz w:val="20"/>
      <w:szCs w:val="20"/>
    </w:rPr>
  </w:style>
  <w:style w:type="paragraph" w:styleId="CommentSubject">
    <w:name w:val="annotation subject"/>
    <w:basedOn w:val="CommentText"/>
    <w:next w:val="CommentText"/>
    <w:link w:val="CommentSubjectChar"/>
    <w:uiPriority w:val="99"/>
    <w:semiHidden/>
    <w:unhideWhenUsed/>
    <w:rsid w:val="00A55273"/>
    <w:rPr>
      <w:b/>
      <w:bCs/>
    </w:rPr>
  </w:style>
  <w:style w:type="character" w:customStyle="1" w:styleId="CommentSubjectChar">
    <w:name w:val="Comment Subject Char"/>
    <w:basedOn w:val="CommentTextChar"/>
    <w:link w:val="CommentSubject"/>
    <w:uiPriority w:val="99"/>
    <w:semiHidden/>
    <w:rsid w:val="00A55273"/>
    <w:rPr>
      <w:b/>
      <w:bCs/>
      <w:sz w:val="20"/>
      <w:szCs w:val="20"/>
    </w:rPr>
  </w:style>
  <w:style w:type="paragraph" w:styleId="Revision">
    <w:name w:val="Revision"/>
    <w:hidden/>
    <w:uiPriority w:val="99"/>
    <w:semiHidden/>
    <w:rsid w:val="00A55273"/>
    <w:pPr>
      <w:spacing w:after="0" w:line="240" w:lineRule="auto"/>
    </w:pPr>
  </w:style>
  <w:style w:type="paragraph" w:styleId="Header">
    <w:name w:val="header"/>
    <w:basedOn w:val="Normal"/>
    <w:link w:val="HeaderChar"/>
    <w:unhideWhenUsed/>
    <w:rsid w:val="0095076F"/>
    <w:pPr>
      <w:tabs>
        <w:tab w:val="center" w:pos="4513"/>
        <w:tab w:val="right" w:pos="9026"/>
      </w:tabs>
      <w:spacing w:after="0" w:line="240" w:lineRule="auto"/>
    </w:pPr>
  </w:style>
  <w:style w:type="character" w:customStyle="1" w:styleId="HeaderChar">
    <w:name w:val="Header Char"/>
    <w:basedOn w:val="DefaultParagraphFont"/>
    <w:link w:val="Header"/>
    <w:rsid w:val="0095076F"/>
  </w:style>
  <w:style w:type="paragraph" w:styleId="Footer">
    <w:name w:val="footer"/>
    <w:basedOn w:val="Normal"/>
    <w:link w:val="FooterChar"/>
    <w:uiPriority w:val="99"/>
    <w:unhideWhenUsed/>
    <w:rsid w:val="00950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76F"/>
  </w:style>
  <w:style w:type="character" w:styleId="PageNumber">
    <w:name w:val="page number"/>
    <w:basedOn w:val="DefaultParagraphFont"/>
    <w:rsid w:val="007626C1"/>
  </w:style>
  <w:style w:type="paragraph" w:styleId="Caption">
    <w:name w:val="caption"/>
    <w:basedOn w:val="Normal"/>
    <w:next w:val="Normal"/>
    <w:uiPriority w:val="35"/>
    <w:unhideWhenUsed/>
    <w:qFormat/>
    <w:rsid w:val="007626C1"/>
    <w:pPr>
      <w:spacing w:line="240" w:lineRule="auto"/>
    </w:pPr>
    <w:rPr>
      <w:b/>
      <w:bCs/>
      <w:color w:val="4F81BD" w:themeColor="accent1"/>
      <w:sz w:val="18"/>
      <w:szCs w:val="18"/>
    </w:rPr>
  </w:style>
  <w:style w:type="paragraph" w:styleId="BodyText">
    <w:name w:val="Body Text"/>
    <w:basedOn w:val="Normal"/>
    <w:link w:val="BodyTextChar"/>
    <w:uiPriority w:val="99"/>
    <w:rsid w:val="003B4C09"/>
    <w:pPr>
      <w:spacing w:after="0" w:line="240" w:lineRule="auto"/>
      <w:jc w:val="both"/>
    </w:pPr>
    <w:rPr>
      <w:rFonts w:ascii="Futura Lt BT" w:eastAsia="Times New Roman" w:hAnsi="Futura Lt BT" w:cs="Times New Roman"/>
      <w:sz w:val="24"/>
      <w:szCs w:val="20"/>
      <w:lang w:val="en-GB"/>
    </w:rPr>
  </w:style>
  <w:style w:type="character" w:customStyle="1" w:styleId="BodyTextChar">
    <w:name w:val="Body Text Char"/>
    <w:basedOn w:val="DefaultParagraphFont"/>
    <w:link w:val="BodyText"/>
    <w:uiPriority w:val="99"/>
    <w:rsid w:val="003B4C09"/>
    <w:rPr>
      <w:rFonts w:ascii="Futura Lt BT" w:eastAsia="Times New Roman" w:hAnsi="Futura Lt BT" w:cs="Times New Roman"/>
      <w:sz w:val="24"/>
      <w:szCs w:val="20"/>
      <w:lang w:val="en-GB"/>
    </w:rPr>
  </w:style>
  <w:style w:type="paragraph" w:styleId="ListParagraph">
    <w:name w:val="List Paragraph"/>
    <w:basedOn w:val="Normal"/>
    <w:uiPriority w:val="34"/>
    <w:qFormat/>
    <w:rsid w:val="00CD77F2"/>
    <w:pPr>
      <w:ind w:left="720"/>
      <w:contextualSpacing/>
    </w:pPr>
  </w:style>
  <w:style w:type="table" w:styleId="TableGrid">
    <w:name w:val="Table Grid"/>
    <w:basedOn w:val="TableNormal"/>
    <w:uiPriority w:val="59"/>
    <w:rsid w:val="00CD77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Justified">
    <w:name w:val="Style Justified"/>
    <w:basedOn w:val="Normal"/>
    <w:rsid w:val="00076AE5"/>
    <w:pPr>
      <w:spacing w:after="0" w:line="240" w:lineRule="auto"/>
      <w:jc w:val="both"/>
    </w:pPr>
    <w:rPr>
      <w:rFonts w:ascii="Calibri" w:eastAsia="Times New Roman" w:hAnsi="Calibri" w:cs="Times New Roman"/>
      <w:b/>
      <w:color w:val="000000"/>
      <w:kern w:val="28"/>
      <w:sz w:val="20"/>
      <w:szCs w:val="20"/>
      <w:lang w:val="en-GB" w:eastAsia="en-GB"/>
    </w:rPr>
  </w:style>
  <w:style w:type="character" w:styleId="FollowedHyperlink">
    <w:name w:val="FollowedHyperlink"/>
    <w:basedOn w:val="DefaultParagraphFont"/>
    <w:uiPriority w:val="99"/>
    <w:semiHidden/>
    <w:unhideWhenUsed/>
    <w:rsid w:val="00AF0560"/>
    <w:rPr>
      <w:color w:val="800080" w:themeColor="followedHyperlink"/>
      <w:u w:val="single"/>
    </w:rPr>
  </w:style>
  <w:style w:type="paragraph" w:styleId="PlainText">
    <w:name w:val="Plain Text"/>
    <w:basedOn w:val="Normal"/>
    <w:link w:val="PlainTextChar"/>
    <w:uiPriority w:val="99"/>
    <w:unhideWhenUsed/>
    <w:rsid w:val="00621C58"/>
    <w:pPr>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sid w:val="00621C58"/>
    <w:rPr>
      <w:rFonts w:ascii="Calibri" w:hAnsi="Calibri"/>
      <w:szCs w:val="21"/>
      <w:lang w:val="en-GB"/>
    </w:rPr>
  </w:style>
  <w:style w:type="paragraph" w:customStyle="1" w:styleId="bodytext0">
    <w:name w:val="bodytext"/>
    <w:basedOn w:val="Normal"/>
    <w:rsid w:val="008250C2"/>
    <w:pPr>
      <w:spacing w:after="240" w:line="336" w:lineRule="atLeast"/>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AD0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26620">
      <w:bodyDiv w:val="1"/>
      <w:marLeft w:val="0"/>
      <w:marRight w:val="0"/>
      <w:marTop w:val="0"/>
      <w:marBottom w:val="0"/>
      <w:divBdr>
        <w:top w:val="none" w:sz="0" w:space="0" w:color="auto"/>
        <w:left w:val="none" w:sz="0" w:space="0" w:color="auto"/>
        <w:bottom w:val="none" w:sz="0" w:space="0" w:color="auto"/>
        <w:right w:val="none" w:sz="0" w:space="0" w:color="auto"/>
      </w:divBdr>
      <w:divsChild>
        <w:div w:id="1409768171">
          <w:marLeft w:val="0"/>
          <w:marRight w:val="0"/>
          <w:marTop w:val="0"/>
          <w:marBottom w:val="0"/>
          <w:divBdr>
            <w:top w:val="none" w:sz="0" w:space="0" w:color="auto"/>
            <w:left w:val="none" w:sz="0" w:space="0" w:color="auto"/>
            <w:bottom w:val="none" w:sz="0" w:space="0" w:color="auto"/>
            <w:right w:val="none" w:sz="0" w:space="0" w:color="auto"/>
          </w:divBdr>
          <w:divsChild>
            <w:div w:id="1394886700">
              <w:marLeft w:val="0"/>
              <w:marRight w:val="0"/>
              <w:marTop w:val="0"/>
              <w:marBottom w:val="0"/>
              <w:divBdr>
                <w:top w:val="none" w:sz="0" w:space="0" w:color="auto"/>
                <w:left w:val="none" w:sz="0" w:space="0" w:color="auto"/>
                <w:bottom w:val="none" w:sz="0" w:space="0" w:color="auto"/>
                <w:right w:val="none" w:sz="0" w:space="0" w:color="auto"/>
              </w:divBdr>
              <w:divsChild>
                <w:div w:id="1236432042">
                  <w:marLeft w:val="0"/>
                  <w:marRight w:val="0"/>
                  <w:marTop w:val="0"/>
                  <w:marBottom w:val="0"/>
                  <w:divBdr>
                    <w:top w:val="none" w:sz="0" w:space="0" w:color="auto"/>
                    <w:left w:val="none" w:sz="0" w:space="0" w:color="auto"/>
                    <w:bottom w:val="none" w:sz="0" w:space="0" w:color="auto"/>
                    <w:right w:val="none" w:sz="0" w:space="0" w:color="auto"/>
                  </w:divBdr>
                  <w:divsChild>
                    <w:div w:id="23407134">
                      <w:marLeft w:val="0"/>
                      <w:marRight w:val="0"/>
                      <w:marTop w:val="0"/>
                      <w:marBottom w:val="0"/>
                      <w:divBdr>
                        <w:top w:val="none" w:sz="0" w:space="0" w:color="auto"/>
                        <w:left w:val="none" w:sz="0" w:space="0" w:color="auto"/>
                        <w:bottom w:val="none" w:sz="0" w:space="0" w:color="auto"/>
                        <w:right w:val="none" w:sz="0" w:space="0" w:color="auto"/>
                      </w:divBdr>
                      <w:divsChild>
                        <w:div w:id="2047363444">
                          <w:marLeft w:val="0"/>
                          <w:marRight w:val="0"/>
                          <w:marTop w:val="0"/>
                          <w:marBottom w:val="0"/>
                          <w:divBdr>
                            <w:top w:val="none" w:sz="0" w:space="0" w:color="auto"/>
                            <w:left w:val="none" w:sz="0" w:space="0" w:color="auto"/>
                            <w:bottom w:val="none" w:sz="0" w:space="0" w:color="auto"/>
                            <w:right w:val="none" w:sz="0" w:space="0" w:color="auto"/>
                          </w:divBdr>
                          <w:divsChild>
                            <w:div w:id="383719916">
                              <w:marLeft w:val="0"/>
                              <w:marRight w:val="0"/>
                              <w:marTop w:val="0"/>
                              <w:marBottom w:val="0"/>
                              <w:divBdr>
                                <w:top w:val="none" w:sz="0" w:space="0" w:color="auto"/>
                                <w:left w:val="none" w:sz="0" w:space="0" w:color="auto"/>
                                <w:bottom w:val="none" w:sz="0" w:space="0" w:color="auto"/>
                                <w:right w:val="none" w:sz="0" w:space="0" w:color="auto"/>
                              </w:divBdr>
                              <w:divsChild>
                                <w:div w:id="990867211">
                                  <w:marLeft w:val="0"/>
                                  <w:marRight w:val="0"/>
                                  <w:marTop w:val="0"/>
                                  <w:marBottom w:val="0"/>
                                  <w:divBdr>
                                    <w:top w:val="none" w:sz="0" w:space="0" w:color="auto"/>
                                    <w:left w:val="none" w:sz="0" w:space="0" w:color="auto"/>
                                    <w:bottom w:val="none" w:sz="0" w:space="0" w:color="auto"/>
                                    <w:right w:val="none" w:sz="0" w:space="0" w:color="auto"/>
                                  </w:divBdr>
                                  <w:divsChild>
                                    <w:div w:id="1185823469">
                                      <w:marLeft w:val="0"/>
                                      <w:marRight w:val="0"/>
                                      <w:marTop w:val="0"/>
                                      <w:marBottom w:val="0"/>
                                      <w:divBdr>
                                        <w:top w:val="none" w:sz="0" w:space="0" w:color="auto"/>
                                        <w:left w:val="none" w:sz="0" w:space="0" w:color="auto"/>
                                        <w:bottom w:val="none" w:sz="0" w:space="0" w:color="auto"/>
                                        <w:right w:val="none" w:sz="0" w:space="0" w:color="auto"/>
                                      </w:divBdr>
                                      <w:divsChild>
                                        <w:div w:id="172770771">
                                          <w:marLeft w:val="0"/>
                                          <w:marRight w:val="0"/>
                                          <w:marTop w:val="0"/>
                                          <w:marBottom w:val="0"/>
                                          <w:divBdr>
                                            <w:top w:val="none" w:sz="0" w:space="0" w:color="auto"/>
                                            <w:left w:val="none" w:sz="0" w:space="0" w:color="auto"/>
                                            <w:bottom w:val="none" w:sz="0" w:space="0" w:color="auto"/>
                                            <w:right w:val="none" w:sz="0" w:space="0" w:color="auto"/>
                                          </w:divBdr>
                                          <w:divsChild>
                                            <w:div w:id="997810587">
                                              <w:marLeft w:val="0"/>
                                              <w:marRight w:val="0"/>
                                              <w:marTop w:val="0"/>
                                              <w:marBottom w:val="0"/>
                                              <w:divBdr>
                                                <w:top w:val="none" w:sz="0" w:space="0" w:color="auto"/>
                                                <w:left w:val="none" w:sz="0" w:space="0" w:color="auto"/>
                                                <w:bottom w:val="none" w:sz="0" w:space="0" w:color="auto"/>
                                                <w:right w:val="none" w:sz="0" w:space="0" w:color="auto"/>
                                              </w:divBdr>
                                              <w:divsChild>
                                                <w:div w:id="119038010">
                                                  <w:marLeft w:val="0"/>
                                                  <w:marRight w:val="0"/>
                                                  <w:marTop w:val="0"/>
                                                  <w:marBottom w:val="0"/>
                                                  <w:divBdr>
                                                    <w:top w:val="none" w:sz="0" w:space="0" w:color="auto"/>
                                                    <w:left w:val="none" w:sz="0" w:space="0" w:color="auto"/>
                                                    <w:bottom w:val="none" w:sz="0" w:space="0" w:color="auto"/>
                                                    <w:right w:val="none" w:sz="0" w:space="0" w:color="auto"/>
                                                  </w:divBdr>
                                                  <w:divsChild>
                                                    <w:div w:id="9609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31613">
      <w:bodyDiv w:val="1"/>
      <w:marLeft w:val="0"/>
      <w:marRight w:val="0"/>
      <w:marTop w:val="0"/>
      <w:marBottom w:val="0"/>
      <w:divBdr>
        <w:top w:val="none" w:sz="0" w:space="0" w:color="auto"/>
        <w:left w:val="none" w:sz="0" w:space="0" w:color="auto"/>
        <w:bottom w:val="none" w:sz="0" w:space="0" w:color="auto"/>
        <w:right w:val="none" w:sz="0" w:space="0" w:color="auto"/>
      </w:divBdr>
    </w:div>
    <w:div w:id="443886908">
      <w:bodyDiv w:val="1"/>
      <w:marLeft w:val="0"/>
      <w:marRight w:val="0"/>
      <w:marTop w:val="0"/>
      <w:marBottom w:val="450"/>
      <w:divBdr>
        <w:top w:val="none" w:sz="0" w:space="0" w:color="auto"/>
        <w:left w:val="none" w:sz="0" w:space="0" w:color="auto"/>
        <w:bottom w:val="none" w:sz="0" w:space="0" w:color="auto"/>
        <w:right w:val="none" w:sz="0" w:space="0" w:color="auto"/>
      </w:divBdr>
      <w:divsChild>
        <w:div w:id="1047028683">
          <w:marLeft w:val="0"/>
          <w:marRight w:val="0"/>
          <w:marTop w:val="0"/>
          <w:marBottom w:val="0"/>
          <w:divBdr>
            <w:top w:val="none" w:sz="0" w:space="0" w:color="auto"/>
            <w:left w:val="none" w:sz="0" w:space="0" w:color="auto"/>
            <w:bottom w:val="none" w:sz="0" w:space="0" w:color="auto"/>
            <w:right w:val="none" w:sz="0" w:space="0" w:color="auto"/>
          </w:divBdr>
          <w:divsChild>
            <w:div w:id="178011732">
              <w:marLeft w:val="0"/>
              <w:marRight w:val="0"/>
              <w:marTop w:val="240"/>
              <w:marBottom w:val="0"/>
              <w:divBdr>
                <w:top w:val="none" w:sz="0" w:space="0" w:color="auto"/>
                <w:left w:val="none" w:sz="0" w:space="0" w:color="auto"/>
                <w:bottom w:val="none" w:sz="0" w:space="0" w:color="auto"/>
                <w:right w:val="none" w:sz="0" w:space="0" w:color="auto"/>
              </w:divBdr>
              <w:divsChild>
                <w:div w:id="6828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opf.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deborahmckendrick@itopf.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opf.org" TargetMode="External"/><Relationship Id="rId4" Type="http://schemas.openxmlformats.org/officeDocument/2006/relationships/settings" Target="settings.xml"/><Relationship Id="rId9" Type="http://schemas.openxmlformats.org/officeDocument/2006/relationships/hyperlink" Target="http://www.itopf.org/knowledge-resources/data-statistics/statistic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17224905694759E-2"/>
          <c:y val="6.8057278860390244E-2"/>
          <c:w val="0.87985563619851781"/>
          <c:h val="0.74012327859407079"/>
        </c:manualLayout>
      </c:layout>
      <c:barChart>
        <c:barDir val="col"/>
        <c:grouping val="stacked"/>
        <c:varyColors val="0"/>
        <c:ser>
          <c:idx val="0"/>
          <c:order val="0"/>
          <c:tx>
            <c:strRef>
              <c:f>'X:\Naa\Work Documents\StatsPack\2019-20\[Statistics - Data &amp; graphs 2019.xlsx]Figure 8 (2)'!$B$1</c:f>
              <c:strCache>
                <c:ptCount val="1"/>
                <c:pt idx="0">
                  <c:v>&gt;700 tonnes</c:v>
                </c:pt>
              </c:strCache>
            </c:strRef>
          </c:tx>
          <c:spPr>
            <a:solidFill>
              <a:srgbClr val="49C5B1"/>
            </a:solidFill>
            <a:ln w="6350">
              <a:solidFill>
                <a:srgbClr val="0096A8"/>
              </a:solidFill>
            </a:ln>
            <a:effectLst/>
            <a:scene3d>
              <a:camera prst="orthographicFront"/>
              <a:lightRig rig="threePt" dir="t"/>
            </a:scene3d>
            <a:sp3d/>
          </c:spPr>
          <c:invertIfNegative val="0"/>
          <c:cat>
            <c:numRef>
              <c:f>'[1]Figure 8 (2)'!$A$2:$A$51</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'[1]Figure 8 (2)'!$B$2:$B$51</c:f>
              <c:numCache>
                <c:formatCode>General</c:formatCode>
                <c:ptCount val="50"/>
                <c:pt idx="0">
                  <c:v>29</c:v>
                </c:pt>
                <c:pt idx="1">
                  <c:v>14</c:v>
                </c:pt>
                <c:pt idx="2">
                  <c:v>27</c:v>
                </c:pt>
                <c:pt idx="3">
                  <c:v>31</c:v>
                </c:pt>
                <c:pt idx="4">
                  <c:v>27</c:v>
                </c:pt>
                <c:pt idx="5">
                  <c:v>20</c:v>
                </c:pt>
                <c:pt idx="6">
                  <c:v>26</c:v>
                </c:pt>
                <c:pt idx="7">
                  <c:v>16</c:v>
                </c:pt>
                <c:pt idx="8">
                  <c:v>23</c:v>
                </c:pt>
                <c:pt idx="9">
                  <c:v>32</c:v>
                </c:pt>
                <c:pt idx="10">
                  <c:v>13</c:v>
                </c:pt>
                <c:pt idx="11">
                  <c:v>7</c:v>
                </c:pt>
                <c:pt idx="12">
                  <c:v>4</c:v>
                </c:pt>
                <c:pt idx="13">
                  <c:v>13</c:v>
                </c:pt>
                <c:pt idx="14">
                  <c:v>8</c:v>
                </c:pt>
                <c:pt idx="15">
                  <c:v>8</c:v>
                </c:pt>
                <c:pt idx="16">
                  <c:v>7</c:v>
                </c:pt>
                <c:pt idx="17">
                  <c:v>11</c:v>
                </c:pt>
                <c:pt idx="18">
                  <c:v>10</c:v>
                </c:pt>
                <c:pt idx="19">
                  <c:v>13</c:v>
                </c:pt>
                <c:pt idx="20">
                  <c:v>14</c:v>
                </c:pt>
                <c:pt idx="21">
                  <c:v>7</c:v>
                </c:pt>
                <c:pt idx="22">
                  <c:v>10</c:v>
                </c:pt>
                <c:pt idx="23">
                  <c:v>11</c:v>
                </c:pt>
                <c:pt idx="24">
                  <c:v>9</c:v>
                </c:pt>
                <c:pt idx="25">
                  <c:v>3</c:v>
                </c:pt>
                <c:pt idx="26">
                  <c:v>3</c:v>
                </c:pt>
                <c:pt idx="27">
                  <c:v>10</c:v>
                </c:pt>
                <c:pt idx="28">
                  <c:v>5</c:v>
                </c:pt>
                <c:pt idx="29">
                  <c:v>5</c:v>
                </c:pt>
                <c:pt idx="30">
                  <c:v>4</c:v>
                </c:pt>
                <c:pt idx="31">
                  <c:v>3</c:v>
                </c:pt>
                <c:pt idx="32">
                  <c:v>3</c:v>
                </c:pt>
                <c:pt idx="33">
                  <c:v>4</c:v>
                </c:pt>
                <c:pt idx="34">
                  <c:v>5</c:v>
                </c:pt>
                <c:pt idx="35">
                  <c:v>3</c:v>
                </c:pt>
                <c:pt idx="36">
                  <c:v>4</c:v>
                </c:pt>
                <c:pt idx="37">
                  <c:v>3</c:v>
                </c:pt>
                <c:pt idx="38">
                  <c:v>1</c:v>
                </c:pt>
                <c:pt idx="39">
                  <c:v>2</c:v>
                </c:pt>
                <c:pt idx="40">
                  <c:v>4</c:v>
                </c:pt>
                <c:pt idx="41">
                  <c:v>1</c:v>
                </c:pt>
                <c:pt idx="42">
                  <c:v>0</c:v>
                </c:pt>
                <c:pt idx="43">
                  <c:v>3</c:v>
                </c:pt>
                <c:pt idx="44">
                  <c:v>1</c:v>
                </c:pt>
                <c:pt idx="45">
                  <c:v>2</c:v>
                </c:pt>
                <c:pt idx="46">
                  <c:v>1</c:v>
                </c:pt>
                <c:pt idx="47">
                  <c:v>2</c:v>
                </c:pt>
                <c:pt idx="48">
                  <c:v>3</c:v>
                </c:pt>
                <c:pt idx="49">
                  <c:v>1</c:v>
                </c:pt>
              </c:numCache>
            </c:numRef>
          </c:val>
          <c:extLst>
            <c:ext xmlns:c16="http://schemas.microsoft.com/office/drawing/2014/chart" uri="{C3380CC4-5D6E-409C-BE32-E72D297353CC}">
              <c16:uniqueId val="{00000000-A786-4BED-A26C-857BB9783CAF}"/>
            </c:ext>
          </c:extLst>
        </c:ser>
        <c:ser>
          <c:idx val="1"/>
          <c:order val="1"/>
          <c:tx>
            <c:strRef>
              <c:f>'X:\Naa\Work Documents\StatsPack\2019-20\[Statistics - Data &amp; graphs 2019.xlsx]Figure 8 (2)'!$C$1</c:f>
              <c:strCache>
                <c:ptCount val="1"/>
                <c:pt idx="0">
                  <c:v>7-700 tonnes</c:v>
                </c:pt>
              </c:strCache>
            </c:strRef>
          </c:tx>
          <c:spPr>
            <a:solidFill>
              <a:srgbClr val="307FE2"/>
            </a:solidFill>
            <a:ln w="6350">
              <a:solidFill>
                <a:srgbClr val="005B8C">
                  <a:alpha val="95000"/>
                </a:srgbClr>
              </a:solidFill>
            </a:ln>
            <a:effectLst/>
            <a:scene3d>
              <a:camera prst="orthographicFront"/>
              <a:lightRig rig="threePt" dir="t"/>
            </a:scene3d>
            <a:sp3d/>
          </c:spPr>
          <c:invertIfNegative val="0"/>
          <c:cat>
            <c:numRef>
              <c:f>'[1]Figure 8 (2)'!$A$2:$A$51</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cat>
          <c:val>
            <c:numRef>
              <c:f>'[1]Figure 8 (2)'!$C$2:$C$51</c:f>
              <c:numCache>
                <c:formatCode>General</c:formatCode>
                <c:ptCount val="50"/>
                <c:pt idx="0">
                  <c:v>7</c:v>
                </c:pt>
                <c:pt idx="1">
                  <c:v>18</c:v>
                </c:pt>
                <c:pt idx="2">
                  <c:v>48</c:v>
                </c:pt>
                <c:pt idx="3">
                  <c:v>28</c:v>
                </c:pt>
                <c:pt idx="4">
                  <c:v>90</c:v>
                </c:pt>
                <c:pt idx="5">
                  <c:v>96</c:v>
                </c:pt>
                <c:pt idx="6">
                  <c:v>67</c:v>
                </c:pt>
                <c:pt idx="7">
                  <c:v>70</c:v>
                </c:pt>
                <c:pt idx="8">
                  <c:v>59</c:v>
                </c:pt>
                <c:pt idx="9">
                  <c:v>60</c:v>
                </c:pt>
                <c:pt idx="10">
                  <c:v>52</c:v>
                </c:pt>
                <c:pt idx="11">
                  <c:v>54</c:v>
                </c:pt>
                <c:pt idx="12">
                  <c:v>46</c:v>
                </c:pt>
                <c:pt idx="13">
                  <c:v>52</c:v>
                </c:pt>
                <c:pt idx="14">
                  <c:v>26</c:v>
                </c:pt>
                <c:pt idx="15">
                  <c:v>33</c:v>
                </c:pt>
                <c:pt idx="16">
                  <c:v>27</c:v>
                </c:pt>
                <c:pt idx="17">
                  <c:v>27</c:v>
                </c:pt>
                <c:pt idx="18">
                  <c:v>11</c:v>
                </c:pt>
                <c:pt idx="19">
                  <c:v>32</c:v>
                </c:pt>
                <c:pt idx="20">
                  <c:v>50</c:v>
                </c:pt>
                <c:pt idx="21">
                  <c:v>30</c:v>
                </c:pt>
                <c:pt idx="22">
                  <c:v>31</c:v>
                </c:pt>
                <c:pt idx="23">
                  <c:v>31</c:v>
                </c:pt>
                <c:pt idx="24">
                  <c:v>26</c:v>
                </c:pt>
                <c:pt idx="25">
                  <c:v>20</c:v>
                </c:pt>
                <c:pt idx="26">
                  <c:v>20</c:v>
                </c:pt>
                <c:pt idx="27">
                  <c:v>28</c:v>
                </c:pt>
                <c:pt idx="28">
                  <c:v>25</c:v>
                </c:pt>
                <c:pt idx="29">
                  <c:v>20</c:v>
                </c:pt>
                <c:pt idx="30">
                  <c:v>21</c:v>
                </c:pt>
                <c:pt idx="31">
                  <c:v>18</c:v>
                </c:pt>
                <c:pt idx="32">
                  <c:v>11</c:v>
                </c:pt>
                <c:pt idx="33">
                  <c:v>19</c:v>
                </c:pt>
                <c:pt idx="34">
                  <c:v>20</c:v>
                </c:pt>
                <c:pt idx="35">
                  <c:v>22</c:v>
                </c:pt>
                <c:pt idx="36">
                  <c:v>12</c:v>
                </c:pt>
                <c:pt idx="37">
                  <c:v>12</c:v>
                </c:pt>
                <c:pt idx="38">
                  <c:v>7</c:v>
                </c:pt>
                <c:pt idx="39">
                  <c:v>7</c:v>
                </c:pt>
                <c:pt idx="40">
                  <c:v>5</c:v>
                </c:pt>
                <c:pt idx="41">
                  <c:v>4</c:v>
                </c:pt>
                <c:pt idx="42">
                  <c:v>7</c:v>
                </c:pt>
                <c:pt idx="43">
                  <c:v>5</c:v>
                </c:pt>
                <c:pt idx="44">
                  <c:v>4</c:v>
                </c:pt>
                <c:pt idx="45">
                  <c:v>6</c:v>
                </c:pt>
                <c:pt idx="46">
                  <c:v>4</c:v>
                </c:pt>
                <c:pt idx="47">
                  <c:v>4</c:v>
                </c:pt>
                <c:pt idx="48">
                  <c:v>3</c:v>
                </c:pt>
                <c:pt idx="49">
                  <c:v>2</c:v>
                </c:pt>
              </c:numCache>
            </c:numRef>
          </c:val>
          <c:extLst>
            <c:ext xmlns:c16="http://schemas.microsoft.com/office/drawing/2014/chart" uri="{C3380CC4-5D6E-409C-BE32-E72D297353CC}">
              <c16:uniqueId val="{00000001-A786-4BED-A26C-857BB9783CAF}"/>
            </c:ext>
          </c:extLst>
        </c:ser>
        <c:dLbls>
          <c:showLegendKey val="0"/>
          <c:showVal val="0"/>
          <c:showCatName val="0"/>
          <c:showSerName val="0"/>
          <c:showPercent val="0"/>
          <c:showBubbleSize val="0"/>
        </c:dLbls>
        <c:gapWidth val="50"/>
        <c:overlap val="100"/>
        <c:axId val="-905221344"/>
        <c:axId val="-905225152"/>
      </c:barChart>
      <c:lineChart>
        <c:grouping val="stacked"/>
        <c:varyColors val="0"/>
        <c:ser>
          <c:idx val="2"/>
          <c:order val="2"/>
          <c:tx>
            <c:v>Average number of spills per year by decade</c:v>
          </c:tx>
          <c:spPr>
            <a:ln w="15240" cap="rnd">
              <a:solidFill>
                <a:srgbClr val="A30650"/>
              </a:solidFill>
              <a:round/>
            </a:ln>
            <a:effectLst/>
          </c:spPr>
          <c:marker>
            <c:symbol val="none"/>
          </c:marker>
          <c:dLbls>
            <c:dLbl>
              <c:idx val="0"/>
              <c:layout>
                <c:manualLayout>
                  <c:x val="-1.3644397375211769E-2"/>
                  <c:y val="-3.1343693944117679E-2"/>
                </c:manualLayout>
              </c:layout>
              <c:spPr>
                <a:noFill/>
                <a:ln>
                  <a:solidFill>
                    <a:srgbClr val="A30650">
                      <a:alpha val="30000"/>
                    </a:srgb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86-4BED-A26C-857BB9783CAF}"/>
                </c:ext>
              </c:extLst>
            </c:dLbl>
            <c:dLbl>
              <c:idx val="1"/>
              <c:delete val="1"/>
              <c:extLst>
                <c:ext xmlns:c15="http://schemas.microsoft.com/office/drawing/2012/chart" uri="{CE6537A1-D6FC-4f65-9D91-7224C49458BB}"/>
                <c:ext xmlns:c16="http://schemas.microsoft.com/office/drawing/2014/chart" uri="{C3380CC4-5D6E-409C-BE32-E72D297353CC}">
                  <c16:uniqueId val="{00000003-A786-4BED-A26C-857BB9783CAF}"/>
                </c:ext>
              </c:extLst>
            </c:dLbl>
            <c:dLbl>
              <c:idx val="2"/>
              <c:delete val="1"/>
              <c:extLst>
                <c:ext xmlns:c15="http://schemas.microsoft.com/office/drawing/2012/chart" uri="{CE6537A1-D6FC-4f65-9D91-7224C49458BB}"/>
                <c:ext xmlns:c16="http://schemas.microsoft.com/office/drawing/2014/chart" uri="{C3380CC4-5D6E-409C-BE32-E72D297353CC}">
                  <c16:uniqueId val="{00000004-A786-4BED-A26C-857BB9783CAF}"/>
                </c:ext>
              </c:extLst>
            </c:dLbl>
            <c:dLbl>
              <c:idx val="3"/>
              <c:delete val="1"/>
              <c:extLst>
                <c:ext xmlns:c15="http://schemas.microsoft.com/office/drawing/2012/chart" uri="{CE6537A1-D6FC-4f65-9D91-7224C49458BB}"/>
                <c:ext xmlns:c16="http://schemas.microsoft.com/office/drawing/2014/chart" uri="{C3380CC4-5D6E-409C-BE32-E72D297353CC}">
                  <c16:uniqueId val="{00000005-A786-4BED-A26C-857BB9783CAF}"/>
                </c:ext>
              </c:extLst>
            </c:dLbl>
            <c:dLbl>
              <c:idx val="4"/>
              <c:delete val="1"/>
              <c:extLst>
                <c:ext xmlns:c15="http://schemas.microsoft.com/office/drawing/2012/chart" uri="{CE6537A1-D6FC-4f65-9D91-7224C49458BB}"/>
                <c:ext xmlns:c16="http://schemas.microsoft.com/office/drawing/2014/chart" uri="{C3380CC4-5D6E-409C-BE32-E72D297353CC}">
                  <c16:uniqueId val="{00000006-A786-4BED-A26C-857BB9783CAF}"/>
                </c:ext>
              </c:extLst>
            </c:dLbl>
            <c:dLbl>
              <c:idx val="5"/>
              <c:delete val="1"/>
              <c:extLst>
                <c:ext xmlns:c15="http://schemas.microsoft.com/office/drawing/2012/chart" uri="{CE6537A1-D6FC-4f65-9D91-7224C49458BB}"/>
                <c:ext xmlns:c16="http://schemas.microsoft.com/office/drawing/2014/chart" uri="{C3380CC4-5D6E-409C-BE32-E72D297353CC}">
                  <c16:uniqueId val="{00000007-A786-4BED-A26C-857BB9783CAF}"/>
                </c:ext>
              </c:extLst>
            </c:dLbl>
            <c:dLbl>
              <c:idx val="6"/>
              <c:delete val="1"/>
              <c:extLst>
                <c:ext xmlns:c15="http://schemas.microsoft.com/office/drawing/2012/chart" uri="{CE6537A1-D6FC-4f65-9D91-7224C49458BB}"/>
                <c:ext xmlns:c16="http://schemas.microsoft.com/office/drawing/2014/chart" uri="{C3380CC4-5D6E-409C-BE32-E72D297353CC}">
                  <c16:uniqueId val="{00000008-A786-4BED-A26C-857BB9783CAF}"/>
                </c:ext>
              </c:extLst>
            </c:dLbl>
            <c:dLbl>
              <c:idx val="7"/>
              <c:delete val="1"/>
              <c:extLst>
                <c:ext xmlns:c15="http://schemas.microsoft.com/office/drawing/2012/chart" uri="{CE6537A1-D6FC-4f65-9D91-7224C49458BB}"/>
                <c:ext xmlns:c16="http://schemas.microsoft.com/office/drawing/2014/chart" uri="{C3380CC4-5D6E-409C-BE32-E72D297353CC}">
                  <c16:uniqueId val="{00000009-A786-4BED-A26C-857BB9783CAF}"/>
                </c:ext>
              </c:extLst>
            </c:dLbl>
            <c:dLbl>
              <c:idx val="8"/>
              <c:delete val="1"/>
              <c:extLst>
                <c:ext xmlns:c15="http://schemas.microsoft.com/office/drawing/2012/chart" uri="{CE6537A1-D6FC-4f65-9D91-7224C49458BB}"/>
                <c:ext xmlns:c16="http://schemas.microsoft.com/office/drawing/2014/chart" uri="{C3380CC4-5D6E-409C-BE32-E72D297353CC}">
                  <c16:uniqueId val="{0000000A-A786-4BED-A26C-857BB9783CAF}"/>
                </c:ext>
              </c:extLst>
            </c:dLbl>
            <c:dLbl>
              <c:idx val="9"/>
              <c:delete val="1"/>
              <c:extLst>
                <c:ext xmlns:c15="http://schemas.microsoft.com/office/drawing/2012/chart" uri="{CE6537A1-D6FC-4f65-9D91-7224C49458BB}"/>
                <c:ext xmlns:c16="http://schemas.microsoft.com/office/drawing/2014/chart" uri="{C3380CC4-5D6E-409C-BE32-E72D297353CC}">
                  <c16:uniqueId val="{0000000B-A786-4BED-A26C-857BB9783CAF}"/>
                </c:ext>
              </c:extLst>
            </c:dLbl>
            <c:dLbl>
              <c:idx val="10"/>
              <c:delete val="1"/>
              <c:extLst>
                <c:ext xmlns:c15="http://schemas.microsoft.com/office/drawing/2012/chart" uri="{CE6537A1-D6FC-4f65-9D91-7224C49458BB}"/>
                <c:ext xmlns:c16="http://schemas.microsoft.com/office/drawing/2014/chart" uri="{C3380CC4-5D6E-409C-BE32-E72D297353CC}">
                  <c16:uniqueId val="{0000000C-A786-4BED-A26C-857BB9783CAF}"/>
                </c:ext>
              </c:extLst>
            </c:dLbl>
            <c:dLbl>
              <c:idx val="11"/>
              <c:delete val="1"/>
              <c:extLst>
                <c:ext xmlns:c15="http://schemas.microsoft.com/office/drawing/2012/chart" uri="{CE6537A1-D6FC-4f65-9D91-7224C49458BB}"/>
                <c:ext xmlns:c16="http://schemas.microsoft.com/office/drawing/2014/chart" uri="{C3380CC4-5D6E-409C-BE32-E72D297353CC}">
                  <c16:uniqueId val="{0000000D-A786-4BED-A26C-857BB9783CAF}"/>
                </c:ext>
              </c:extLst>
            </c:dLbl>
            <c:dLbl>
              <c:idx val="12"/>
              <c:delete val="1"/>
              <c:extLst>
                <c:ext xmlns:c15="http://schemas.microsoft.com/office/drawing/2012/chart" uri="{CE6537A1-D6FC-4f65-9D91-7224C49458BB}"/>
                <c:ext xmlns:c16="http://schemas.microsoft.com/office/drawing/2014/chart" uri="{C3380CC4-5D6E-409C-BE32-E72D297353CC}">
                  <c16:uniqueId val="{0000000E-A786-4BED-A26C-857BB9783CAF}"/>
                </c:ext>
              </c:extLst>
            </c:dLbl>
            <c:dLbl>
              <c:idx val="13"/>
              <c:layout>
                <c:manualLayout>
                  <c:x val="1.8662665704632505E-3"/>
                  <c:y val="-3.4420106679397967E-2"/>
                </c:manualLayout>
              </c:layout>
              <c:spPr>
                <a:noFill/>
                <a:ln>
                  <a:solidFill>
                    <a:srgbClr val="A30650">
                      <a:alpha val="30000"/>
                    </a:srgb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86-4BED-A26C-857BB9783CAF}"/>
                </c:ext>
              </c:extLst>
            </c:dLbl>
            <c:dLbl>
              <c:idx val="14"/>
              <c:delete val="1"/>
              <c:extLst>
                <c:ext xmlns:c15="http://schemas.microsoft.com/office/drawing/2012/chart" uri="{CE6537A1-D6FC-4f65-9D91-7224C49458BB}"/>
                <c:ext xmlns:c16="http://schemas.microsoft.com/office/drawing/2014/chart" uri="{C3380CC4-5D6E-409C-BE32-E72D297353CC}">
                  <c16:uniqueId val="{00000010-A786-4BED-A26C-857BB9783CAF}"/>
                </c:ext>
              </c:extLst>
            </c:dLbl>
            <c:dLbl>
              <c:idx val="15"/>
              <c:delete val="1"/>
              <c:extLst>
                <c:ext xmlns:c15="http://schemas.microsoft.com/office/drawing/2012/chart" uri="{CE6537A1-D6FC-4f65-9D91-7224C49458BB}"/>
                <c:ext xmlns:c16="http://schemas.microsoft.com/office/drawing/2014/chart" uri="{C3380CC4-5D6E-409C-BE32-E72D297353CC}">
                  <c16:uniqueId val="{00000011-A786-4BED-A26C-857BB9783CAF}"/>
                </c:ext>
              </c:extLst>
            </c:dLbl>
            <c:dLbl>
              <c:idx val="16"/>
              <c:delete val="1"/>
              <c:extLst>
                <c:ext xmlns:c15="http://schemas.microsoft.com/office/drawing/2012/chart" uri="{CE6537A1-D6FC-4f65-9D91-7224C49458BB}"/>
                <c:ext xmlns:c16="http://schemas.microsoft.com/office/drawing/2014/chart" uri="{C3380CC4-5D6E-409C-BE32-E72D297353CC}">
                  <c16:uniqueId val="{00000012-A786-4BED-A26C-857BB9783CAF}"/>
                </c:ext>
              </c:extLst>
            </c:dLbl>
            <c:dLbl>
              <c:idx val="17"/>
              <c:delete val="1"/>
              <c:extLst>
                <c:ext xmlns:c15="http://schemas.microsoft.com/office/drawing/2012/chart" uri="{CE6537A1-D6FC-4f65-9D91-7224C49458BB}"/>
                <c:ext xmlns:c16="http://schemas.microsoft.com/office/drawing/2014/chart" uri="{C3380CC4-5D6E-409C-BE32-E72D297353CC}">
                  <c16:uniqueId val="{00000013-A786-4BED-A26C-857BB9783CAF}"/>
                </c:ext>
              </c:extLst>
            </c:dLbl>
            <c:dLbl>
              <c:idx val="18"/>
              <c:delete val="1"/>
              <c:extLst>
                <c:ext xmlns:c15="http://schemas.microsoft.com/office/drawing/2012/chart" uri="{CE6537A1-D6FC-4f65-9D91-7224C49458BB}"/>
                <c:ext xmlns:c16="http://schemas.microsoft.com/office/drawing/2014/chart" uri="{C3380CC4-5D6E-409C-BE32-E72D297353CC}">
                  <c16:uniqueId val="{00000014-A786-4BED-A26C-857BB9783CAF}"/>
                </c:ext>
              </c:extLst>
            </c:dLbl>
            <c:dLbl>
              <c:idx val="19"/>
              <c:delete val="1"/>
              <c:extLst>
                <c:ext xmlns:c15="http://schemas.microsoft.com/office/drawing/2012/chart" uri="{CE6537A1-D6FC-4f65-9D91-7224C49458BB}"/>
                <c:ext xmlns:c16="http://schemas.microsoft.com/office/drawing/2014/chart" uri="{C3380CC4-5D6E-409C-BE32-E72D297353CC}">
                  <c16:uniqueId val="{00000015-A786-4BED-A26C-857BB9783CAF}"/>
                </c:ext>
              </c:extLst>
            </c:dLbl>
            <c:dLbl>
              <c:idx val="20"/>
              <c:delete val="1"/>
              <c:extLst>
                <c:ext xmlns:c15="http://schemas.microsoft.com/office/drawing/2012/chart" uri="{CE6537A1-D6FC-4f65-9D91-7224C49458BB}"/>
                <c:ext xmlns:c16="http://schemas.microsoft.com/office/drawing/2014/chart" uri="{C3380CC4-5D6E-409C-BE32-E72D297353CC}">
                  <c16:uniqueId val="{00000016-A786-4BED-A26C-857BB9783CAF}"/>
                </c:ext>
              </c:extLst>
            </c:dLbl>
            <c:dLbl>
              <c:idx val="21"/>
              <c:layout>
                <c:manualLayout>
                  <c:x val="3.2544128859584916E-2"/>
                  <c:y val="-3.7496593498032402E-2"/>
                </c:manualLayout>
              </c:layout>
              <c:spPr>
                <a:noFill/>
                <a:ln>
                  <a:solidFill>
                    <a:srgbClr val="A30650">
                      <a:alpha val="30000"/>
                    </a:srgb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786-4BED-A26C-857BB9783CAF}"/>
                </c:ext>
              </c:extLst>
            </c:dLbl>
            <c:dLbl>
              <c:idx val="22"/>
              <c:delete val="1"/>
              <c:extLst>
                <c:ext xmlns:c15="http://schemas.microsoft.com/office/drawing/2012/chart" uri="{CE6537A1-D6FC-4f65-9D91-7224C49458BB}"/>
                <c:ext xmlns:c16="http://schemas.microsoft.com/office/drawing/2014/chart" uri="{C3380CC4-5D6E-409C-BE32-E72D297353CC}">
                  <c16:uniqueId val="{00000018-A786-4BED-A26C-857BB9783CAF}"/>
                </c:ext>
              </c:extLst>
            </c:dLbl>
            <c:dLbl>
              <c:idx val="23"/>
              <c:delete val="1"/>
              <c:extLst>
                <c:ext xmlns:c15="http://schemas.microsoft.com/office/drawing/2012/chart" uri="{CE6537A1-D6FC-4f65-9D91-7224C49458BB}"/>
                <c:ext xmlns:c16="http://schemas.microsoft.com/office/drawing/2014/chart" uri="{C3380CC4-5D6E-409C-BE32-E72D297353CC}">
                  <c16:uniqueId val="{00000019-A786-4BED-A26C-857BB9783CAF}"/>
                </c:ext>
              </c:extLst>
            </c:dLbl>
            <c:dLbl>
              <c:idx val="24"/>
              <c:delete val="1"/>
              <c:extLst>
                <c:ext xmlns:c15="http://schemas.microsoft.com/office/drawing/2012/chart" uri="{CE6537A1-D6FC-4f65-9D91-7224C49458BB}"/>
                <c:ext xmlns:c16="http://schemas.microsoft.com/office/drawing/2014/chart" uri="{C3380CC4-5D6E-409C-BE32-E72D297353CC}">
                  <c16:uniqueId val="{0000001A-A786-4BED-A26C-857BB9783CAF}"/>
                </c:ext>
              </c:extLst>
            </c:dLbl>
            <c:dLbl>
              <c:idx val="25"/>
              <c:delete val="1"/>
              <c:extLst>
                <c:ext xmlns:c15="http://schemas.microsoft.com/office/drawing/2012/chart" uri="{CE6537A1-D6FC-4f65-9D91-7224C49458BB}"/>
                <c:ext xmlns:c16="http://schemas.microsoft.com/office/drawing/2014/chart" uri="{C3380CC4-5D6E-409C-BE32-E72D297353CC}">
                  <c16:uniqueId val="{0000001B-A786-4BED-A26C-857BB9783CAF}"/>
                </c:ext>
              </c:extLst>
            </c:dLbl>
            <c:dLbl>
              <c:idx val="26"/>
              <c:delete val="1"/>
              <c:extLst>
                <c:ext xmlns:c15="http://schemas.microsoft.com/office/drawing/2012/chart" uri="{CE6537A1-D6FC-4f65-9D91-7224C49458BB}"/>
                <c:ext xmlns:c16="http://schemas.microsoft.com/office/drawing/2014/chart" uri="{C3380CC4-5D6E-409C-BE32-E72D297353CC}">
                  <c16:uniqueId val="{0000001C-A786-4BED-A26C-857BB9783CAF}"/>
                </c:ext>
              </c:extLst>
            </c:dLbl>
            <c:dLbl>
              <c:idx val="27"/>
              <c:delete val="1"/>
              <c:extLst>
                <c:ext xmlns:c15="http://schemas.microsoft.com/office/drawing/2012/chart" uri="{CE6537A1-D6FC-4f65-9D91-7224C49458BB}"/>
                <c:ext xmlns:c16="http://schemas.microsoft.com/office/drawing/2014/chart" uri="{C3380CC4-5D6E-409C-BE32-E72D297353CC}">
                  <c16:uniqueId val="{0000001D-A786-4BED-A26C-857BB9783CAF}"/>
                </c:ext>
              </c:extLst>
            </c:dLbl>
            <c:dLbl>
              <c:idx val="28"/>
              <c:delete val="1"/>
              <c:extLst>
                <c:ext xmlns:c15="http://schemas.microsoft.com/office/drawing/2012/chart" uri="{CE6537A1-D6FC-4f65-9D91-7224C49458BB}"/>
                <c:ext xmlns:c16="http://schemas.microsoft.com/office/drawing/2014/chart" uri="{C3380CC4-5D6E-409C-BE32-E72D297353CC}">
                  <c16:uniqueId val="{0000001E-A786-4BED-A26C-857BB9783CAF}"/>
                </c:ext>
              </c:extLst>
            </c:dLbl>
            <c:dLbl>
              <c:idx val="29"/>
              <c:delete val="1"/>
              <c:extLst>
                <c:ext xmlns:c15="http://schemas.microsoft.com/office/drawing/2012/chart" uri="{CE6537A1-D6FC-4f65-9D91-7224C49458BB}"/>
                <c:ext xmlns:c16="http://schemas.microsoft.com/office/drawing/2014/chart" uri="{C3380CC4-5D6E-409C-BE32-E72D297353CC}">
                  <c16:uniqueId val="{0000001F-A786-4BED-A26C-857BB9783CAF}"/>
                </c:ext>
              </c:extLst>
            </c:dLbl>
            <c:dLbl>
              <c:idx val="30"/>
              <c:delete val="1"/>
              <c:extLst>
                <c:ext xmlns:c15="http://schemas.microsoft.com/office/drawing/2012/chart" uri="{CE6537A1-D6FC-4f65-9D91-7224C49458BB}"/>
                <c:ext xmlns:c16="http://schemas.microsoft.com/office/drawing/2014/chart" uri="{C3380CC4-5D6E-409C-BE32-E72D297353CC}">
                  <c16:uniqueId val="{00000020-A786-4BED-A26C-857BB9783CAF}"/>
                </c:ext>
              </c:extLst>
            </c:dLbl>
            <c:dLbl>
              <c:idx val="31"/>
              <c:delete val="1"/>
              <c:extLst>
                <c:ext xmlns:c15="http://schemas.microsoft.com/office/drawing/2012/chart" uri="{CE6537A1-D6FC-4f65-9D91-7224C49458BB}"/>
                <c:ext xmlns:c16="http://schemas.microsoft.com/office/drawing/2014/chart" uri="{C3380CC4-5D6E-409C-BE32-E72D297353CC}">
                  <c16:uniqueId val="{00000021-A786-4BED-A26C-857BB9783CAF}"/>
                </c:ext>
              </c:extLst>
            </c:dLbl>
            <c:dLbl>
              <c:idx val="32"/>
              <c:layout>
                <c:manualLayout>
                  <c:x val="5.9720530254826071E-2"/>
                  <c:y val="-3.4420106679397967E-2"/>
                </c:manualLayout>
              </c:layout>
              <c:spPr>
                <a:noFill/>
                <a:ln>
                  <a:solidFill>
                    <a:srgbClr val="A30650">
                      <a:alpha val="30000"/>
                    </a:srgb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786-4BED-A26C-857BB9783CAF}"/>
                </c:ext>
              </c:extLst>
            </c:dLbl>
            <c:dLbl>
              <c:idx val="33"/>
              <c:delete val="1"/>
              <c:extLst>
                <c:ext xmlns:c15="http://schemas.microsoft.com/office/drawing/2012/chart" uri="{CE6537A1-D6FC-4f65-9D91-7224C49458BB}"/>
                <c:ext xmlns:c16="http://schemas.microsoft.com/office/drawing/2014/chart" uri="{C3380CC4-5D6E-409C-BE32-E72D297353CC}">
                  <c16:uniqueId val="{00000023-A786-4BED-A26C-857BB9783CAF}"/>
                </c:ext>
              </c:extLst>
            </c:dLbl>
            <c:dLbl>
              <c:idx val="34"/>
              <c:delete val="1"/>
              <c:extLst>
                <c:ext xmlns:c15="http://schemas.microsoft.com/office/drawing/2012/chart" uri="{CE6537A1-D6FC-4f65-9D91-7224C49458BB}"/>
                <c:ext xmlns:c16="http://schemas.microsoft.com/office/drawing/2014/chart" uri="{C3380CC4-5D6E-409C-BE32-E72D297353CC}">
                  <c16:uniqueId val="{00000024-A786-4BED-A26C-857BB9783CAF}"/>
                </c:ext>
              </c:extLst>
            </c:dLbl>
            <c:dLbl>
              <c:idx val="35"/>
              <c:delete val="1"/>
              <c:extLst>
                <c:ext xmlns:c15="http://schemas.microsoft.com/office/drawing/2012/chart" uri="{CE6537A1-D6FC-4f65-9D91-7224C49458BB}"/>
                <c:ext xmlns:c16="http://schemas.microsoft.com/office/drawing/2014/chart" uri="{C3380CC4-5D6E-409C-BE32-E72D297353CC}">
                  <c16:uniqueId val="{00000025-A786-4BED-A26C-857BB9783CAF}"/>
                </c:ext>
              </c:extLst>
            </c:dLbl>
            <c:dLbl>
              <c:idx val="36"/>
              <c:delete val="1"/>
              <c:extLst>
                <c:ext xmlns:c15="http://schemas.microsoft.com/office/drawing/2012/chart" uri="{CE6537A1-D6FC-4f65-9D91-7224C49458BB}"/>
                <c:ext xmlns:c16="http://schemas.microsoft.com/office/drawing/2014/chart" uri="{C3380CC4-5D6E-409C-BE32-E72D297353CC}">
                  <c16:uniqueId val="{00000026-A786-4BED-A26C-857BB9783CAF}"/>
                </c:ext>
              </c:extLst>
            </c:dLbl>
            <c:dLbl>
              <c:idx val="37"/>
              <c:delete val="1"/>
              <c:extLst>
                <c:ext xmlns:c15="http://schemas.microsoft.com/office/drawing/2012/chart" uri="{CE6537A1-D6FC-4f65-9D91-7224C49458BB}"/>
                <c:ext xmlns:c16="http://schemas.microsoft.com/office/drawing/2014/chart" uri="{C3380CC4-5D6E-409C-BE32-E72D297353CC}">
                  <c16:uniqueId val="{00000027-A786-4BED-A26C-857BB9783CAF}"/>
                </c:ext>
              </c:extLst>
            </c:dLbl>
            <c:dLbl>
              <c:idx val="38"/>
              <c:delete val="1"/>
              <c:extLst>
                <c:ext xmlns:c15="http://schemas.microsoft.com/office/drawing/2012/chart" uri="{CE6537A1-D6FC-4f65-9D91-7224C49458BB}"/>
                <c:ext xmlns:c16="http://schemas.microsoft.com/office/drawing/2014/chart" uri="{C3380CC4-5D6E-409C-BE32-E72D297353CC}">
                  <c16:uniqueId val="{00000028-A786-4BED-A26C-857BB9783CAF}"/>
                </c:ext>
              </c:extLst>
            </c:dLbl>
            <c:dLbl>
              <c:idx val="39"/>
              <c:delete val="1"/>
              <c:extLst>
                <c:ext xmlns:c15="http://schemas.microsoft.com/office/drawing/2012/chart" uri="{CE6537A1-D6FC-4f65-9D91-7224C49458BB}"/>
                <c:ext xmlns:c16="http://schemas.microsoft.com/office/drawing/2014/chart" uri="{C3380CC4-5D6E-409C-BE32-E72D297353CC}">
                  <c16:uniqueId val="{00000029-A786-4BED-A26C-857BB9783CAF}"/>
                </c:ext>
              </c:extLst>
            </c:dLbl>
            <c:dLbl>
              <c:idx val="40"/>
              <c:delete val="1"/>
              <c:extLst>
                <c:ext xmlns:c15="http://schemas.microsoft.com/office/drawing/2012/chart" uri="{CE6537A1-D6FC-4f65-9D91-7224C49458BB}"/>
                <c:ext xmlns:c16="http://schemas.microsoft.com/office/drawing/2014/chart" uri="{C3380CC4-5D6E-409C-BE32-E72D297353CC}">
                  <c16:uniqueId val="{0000002A-A786-4BED-A26C-857BB9783CAF}"/>
                </c:ext>
              </c:extLst>
            </c:dLbl>
            <c:dLbl>
              <c:idx val="41"/>
              <c:layout>
                <c:manualLayout>
                  <c:x val="1.8662621194065789E-2"/>
                  <c:y val="-4.3649493051947187E-2"/>
                </c:manualLayout>
              </c:layout>
              <c:spPr>
                <a:noFill/>
                <a:ln>
                  <a:solidFill>
                    <a:srgbClr val="A30650">
                      <a:alpha val="30000"/>
                    </a:srgb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786-4BED-A26C-857BB9783CAF}"/>
                </c:ext>
              </c:extLst>
            </c:dLbl>
            <c:dLbl>
              <c:idx val="42"/>
              <c:delete val="1"/>
              <c:extLst>
                <c:ext xmlns:c15="http://schemas.microsoft.com/office/drawing/2012/chart" uri="{CE6537A1-D6FC-4f65-9D91-7224C49458BB}"/>
                <c:ext xmlns:c16="http://schemas.microsoft.com/office/drawing/2014/chart" uri="{C3380CC4-5D6E-409C-BE32-E72D297353CC}">
                  <c16:uniqueId val="{0000002C-A786-4BED-A26C-857BB9783CAF}"/>
                </c:ext>
              </c:extLst>
            </c:dLbl>
            <c:dLbl>
              <c:idx val="43"/>
              <c:delete val="1"/>
              <c:extLst>
                <c:ext xmlns:c15="http://schemas.microsoft.com/office/drawing/2012/chart" uri="{CE6537A1-D6FC-4f65-9D91-7224C49458BB}"/>
                <c:ext xmlns:c16="http://schemas.microsoft.com/office/drawing/2014/chart" uri="{C3380CC4-5D6E-409C-BE32-E72D297353CC}">
                  <c16:uniqueId val="{0000002D-A786-4BED-A26C-857BB9783CAF}"/>
                </c:ext>
              </c:extLst>
            </c:dLbl>
            <c:dLbl>
              <c:idx val="44"/>
              <c:delete val="1"/>
              <c:extLst>
                <c:ext xmlns:c15="http://schemas.microsoft.com/office/drawing/2012/chart" uri="{CE6537A1-D6FC-4f65-9D91-7224C49458BB}"/>
                <c:ext xmlns:c16="http://schemas.microsoft.com/office/drawing/2014/chart" uri="{C3380CC4-5D6E-409C-BE32-E72D297353CC}">
                  <c16:uniqueId val="{0000002E-A786-4BED-A26C-857BB9783CAF}"/>
                </c:ext>
              </c:extLst>
            </c:dLbl>
            <c:dLbl>
              <c:idx val="45"/>
              <c:delete val="1"/>
              <c:extLst>
                <c:ext xmlns:c15="http://schemas.microsoft.com/office/drawing/2012/chart" uri="{CE6537A1-D6FC-4f65-9D91-7224C49458BB}"/>
                <c:ext xmlns:c16="http://schemas.microsoft.com/office/drawing/2014/chart" uri="{C3380CC4-5D6E-409C-BE32-E72D297353CC}">
                  <c16:uniqueId val="{0000002F-A786-4BED-A26C-857BB9783CAF}"/>
                </c:ext>
              </c:extLst>
            </c:dLbl>
            <c:dLbl>
              <c:idx val="46"/>
              <c:delete val="1"/>
              <c:extLst>
                <c:ext xmlns:c15="http://schemas.microsoft.com/office/drawing/2012/chart" uri="{CE6537A1-D6FC-4f65-9D91-7224C49458BB}"/>
                <c:ext xmlns:c16="http://schemas.microsoft.com/office/drawing/2014/chart" uri="{C3380CC4-5D6E-409C-BE32-E72D297353CC}">
                  <c16:uniqueId val="{00000030-A786-4BED-A26C-857BB9783CAF}"/>
                </c:ext>
              </c:extLst>
            </c:dLbl>
            <c:dLbl>
              <c:idx val="47"/>
              <c:delete val="1"/>
              <c:extLst>
                <c:ext xmlns:c15="http://schemas.microsoft.com/office/drawing/2012/chart" uri="{CE6537A1-D6FC-4f65-9D91-7224C49458BB}"/>
                <c:ext xmlns:c16="http://schemas.microsoft.com/office/drawing/2014/chart" uri="{C3380CC4-5D6E-409C-BE32-E72D297353CC}">
                  <c16:uniqueId val="{00000031-A786-4BED-A26C-857BB9783CAF}"/>
                </c:ext>
              </c:extLst>
            </c:dLbl>
            <c:dLbl>
              <c:idx val="48"/>
              <c:delete val="1"/>
              <c:extLst>
                <c:ext xmlns:c15="http://schemas.microsoft.com/office/drawing/2012/chart" uri="{CE6537A1-D6FC-4f65-9D91-7224C49458BB}"/>
                <c:ext xmlns:c16="http://schemas.microsoft.com/office/drawing/2014/chart" uri="{C3380CC4-5D6E-409C-BE32-E72D297353CC}">
                  <c16:uniqueId val="{00000032-A786-4BED-A26C-857BB9783CAF}"/>
                </c:ext>
              </c:extLst>
            </c:dLbl>
            <c:dLbl>
              <c:idx val="49"/>
              <c:delete val="1"/>
              <c:extLst>
                <c:ext xmlns:c15="http://schemas.microsoft.com/office/drawing/2012/chart" uri="{CE6537A1-D6FC-4f65-9D91-7224C49458BB}"/>
                <c:ext xmlns:c16="http://schemas.microsoft.com/office/drawing/2014/chart" uri="{C3380CC4-5D6E-409C-BE32-E72D297353CC}">
                  <c16:uniqueId val="{00000033-A786-4BED-A26C-857BB9783C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'[1]Figure 8 (2)'!$E$2:$E$51</c:f>
              <c:numCache>
                <c:formatCode>General</c:formatCode>
                <c:ptCount val="50"/>
                <c:pt idx="0">
                  <c:v>78.8</c:v>
                </c:pt>
                <c:pt idx="1">
                  <c:v>78.8</c:v>
                </c:pt>
                <c:pt idx="2">
                  <c:v>78.8</c:v>
                </c:pt>
                <c:pt idx="3">
                  <c:v>78.8</c:v>
                </c:pt>
                <c:pt idx="4">
                  <c:v>78.8</c:v>
                </c:pt>
                <c:pt idx="5">
                  <c:v>78.8</c:v>
                </c:pt>
                <c:pt idx="6">
                  <c:v>78.8</c:v>
                </c:pt>
                <c:pt idx="7">
                  <c:v>78.8</c:v>
                </c:pt>
                <c:pt idx="8">
                  <c:v>78.8</c:v>
                </c:pt>
                <c:pt idx="9">
                  <c:v>78.8</c:v>
                </c:pt>
                <c:pt idx="10">
                  <c:v>45.4</c:v>
                </c:pt>
                <c:pt idx="11">
                  <c:v>45.4</c:v>
                </c:pt>
                <c:pt idx="12">
                  <c:v>45.4</c:v>
                </c:pt>
                <c:pt idx="13">
                  <c:v>45.4</c:v>
                </c:pt>
                <c:pt idx="14">
                  <c:v>45.4</c:v>
                </c:pt>
                <c:pt idx="15">
                  <c:v>45.4</c:v>
                </c:pt>
                <c:pt idx="16">
                  <c:v>45.4</c:v>
                </c:pt>
                <c:pt idx="17">
                  <c:v>45.4</c:v>
                </c:pt>
                <c:pt idx="18">
                  <c:v>45.4</c:v>
                </c:pt>
                <c:pt idx="19">
                  <c:v>45.4</c:v>
                </c:pt>
                <c:pt idx="20">
                  <c:v>35.799999999999997</c:v>
                </c:pt>
                <c:pt idx="21">
                  <c:v>35.799999999999997</c:v>
                </c:pt>
                <c:pt idx="22">
                  <c:v>35.799999999999997</c:v>
                </c:pt>
                <c:pt idx="23">
                  <c:v>35.799999999999997</c:v>
                </c:pt>
                <c:pt idx="24">
                  <c:v>35.799999999999997</c:v>
                </c:pt>
                <c:pt idx="25">
                  <c:v>35.799999999999997</c:v>
                </c:pt>
                <c:pt idx="26">
                  <c:v>35.799999999999997</c:v>
                </c:pt>
                <c:pt idx="27">
                  <c:v>35.799999999999997</c:v>
                </c:pt>
                <c:pt idx="28">
                  <c:v>35.799999999999997</c:v>
                </c:pt>
                <c:pt idx="29">
                  <c:v>35.799999999999997</c:v>
                </c:pt>
                <c:pt idx="30">
                  <c:v>18.100000000000001</c:v>
                </c:pt>
                <c:pt idx="31">
                  <c:v>18.100000000000001</c:v>
                </c:pt>
                <c:pt idx="32">
                  <c:v>18.100000000000001</c:v>
                </c:pt>
                <c:pt idx="33">
                  <c:v>18.100000000000001</c:v>
                </c:pt>
                <c:pt idx="34">
                  <c:v>18.100000000000001</c:v>
                </c:pt>
                <c:pt idx="35">
                  <c:v>18.100000000000001</c:v>
                </c:pt>
                <c:pt idx="36">
                  <c:v>18.100000000000001</c:v>
                </c:pt>
                <c:pt idx="37">
                  <c:v>18.100000000000001</c:v>
                </c:pt>
                <c:pt idx="38">
                  <c:v>18.100000000000001</c:v>
                </c:pt>
                <c:pt idx="39">
                  <c:v>18.100000000000001</c:v>
                </c:pt>
                <c:pt idx="40">
                  <c:v>6.2</c:v>
                </c:pt>
                <c:pt idx="41">
                  <c:v>6.2</c:v>
                </c:pt>
                <c:pt idx="42">
                  <c:v>6.2</c:v>
                </c:pt>
                <c:pt idx="43">
                  <c:v>6.2</c:v>
                </c:pt>
                <c:pt idx="44">
                  <c:v>6.2</c:v>
                </c:pt>
                <c:pt idx="45">
                  <c:v>6.2</c:v>
                </c:pt>
                <c:pt idx="46">
                  <c:v>6.2</c:v>
                </c:pt>
                <c:pt idx="47">
                  <c:v>6.2</c:v>
                </c:pt>
                <c:pt idx="48">
                  <c:v>6.2</c:v>
                </c:pt>
                <c:pt idx="49">
                  <c:v>6.2</c:v>
                </c:pt>
              </c:numCache>
            </c:numRef>
          </c:val>
          <c:smooth val="0"/>
          <c:extLst>
            <c:ext xmlns:c16="http://schemas.microsoft.com/office/drawing/2014/chart" uri="{C3380CC4-5D6E-409C-BE32-E72D297353CC}">
              <c16:uniqueId val="{00000034-A786-4BED-A26C-857BB9783CAF}"/>
            </c:ext>
          </c:extLst>
        </c:ser>
        <c:dLbls>
          <c:showLegendKey val="0"/>
          <c:showVal val="0"/>
          <c:showCatName val="0"/>
          <c:showSerName val="0"/>
          <c:showPercent val="0"/>
          <c:showBubbleSize val="0"/>
        </c:dLbls>
        <c:marker val="1"/>
        <c:smooth val="0"/>
        <c:axId val="-905221344"/>
        <c:axId val="-905225152"/>
      </c:lineChart>
      <c:catAx>
        <c:axId val="-9052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225152"/>
        <c:crosses val="autoZero"/>
        <c:auto val="1"/>
        <c:lblAlgn val="ctr"/>
        <c:lblOffset val="100"/>
        <c:tickLblSkip val="3"/>
        <c:noMultiLvlLbl val="0"/>
      </c:catAx>
      <c:valAx>
        <c:axId val="-905225152"/>
        <c:scaling>
          <c:orientation val="minMax"/>
          <c:max val="12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GB" b="1" baseline="0">
                    <a:solidFill>
                      <a:schemeClr val="tx1"/>
                    </a:solidFill>
                  </a:rPr>
                  <a:t>Number of spills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221344"/>
        <c:crosses val="autoZero"/>
        <c:crossBetween val="between"/>
      </c:valAx>
      <c:spPr>
        <a:noFill/>
        <a:ln>
          <a:noFill/>
        </a:ln>
        <a:effectLst/>
      </c:spPr>
    </c:plotArea>
    <c:legend>
      <c:legendPos val="b"/>
      <c:layout>
        <c:manualLayout>
          <c:xMode val="edge"/>
          <c:yMode val="edge"/>
          <c:x val="0.15634111826105102"/>
          <c:y val="0.89187015403987391"/>
          <c:w val="0.75263709344411411"/>
          <c:h val="5.1764900483391538E-2"/>
        </c:manualLayout>
      </c:layout>
      <c:overlay val="0"/>
      <c:spPr>
        <a:noFill/>
        <a:ln w="6350">
          <a:solidFill>
            <a:schemeClr val="bg1">
              <a:lumMod val="75000"/>
            </a:schemeClr>
          </a:solid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bg1">
          <a:lumMod val="6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eg"/></Relationships>
</file>

<file path=word/drawings/drawing1.xml><?xml version="1.0" encoding="utf-8"?>
<c:userShapes xmlns:c="http://schemas.openxmlformats.org/drawingml/2006/chart">
  <cdr:relSizeAnchor xmlns:cdr="http://schemas.openxmlformats.org/drawingml/2006/chartDrawing">
    <cdr:from>
      <cdr:x>0.88422</cdr:x>
      <cdr:y>0.01384</cdr:y>
    </cdr:from>
    <cdr:to>
      <cdr:x>0.99003</cdr:x>
      <cdr:y>0.1666</cdr:y>
    </cdr:to>
    <cdr:pic>
      <cdr:nvPicPr>
        <cdr:cNvPr id="2" name="Picture 1">
          <a:extLst xmlns:a="http://schemas.openxmlformats.org/drawingml/2006/main">
            <a:ext uri="{FF2B5EF4-FFF2-40B4-BE49-F238E27FC236}">
              <a16:creationId xmlns:a16="http://schemas.microsoft.com/office/drawing/2014/main" id="{F7A50C2B-F136-4BDD-81CE-63D5169CF163}"/>
            </a:ext>
          </a:extLst>
        </cdr:cNvPr>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67909" y="57150"/>
          <a:ext cx="606451" cy="630614"/>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4FBDA-A9D0-4F02-872D-4AA92B68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ITOPF Ltd</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Susannah Musk</dc:creator>
  <cp:lastModifiedBy>Deborah McKendrick</cp:lastModifiedBy>
  <cp:revision>14</cp:revision>
  <cp:lastPrinted>2020-01-10T09:12:00Z</cp:lastPrinted>
  <dcterms:created xsi:type="dcterms:W3CDTF">2020-01-08T11:06:00Z</dcterms:created>
  <dcterms:modified xsi:type="dcterms:W3CDTF">2020-01-10T10:57:00Z</dcterms:modified>
</cp:coreProperties>
</file>