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9C971" w14:textId="77777777" w:rsidR="005E4833" w:rsidRDefault="005E4833" w:rsidP="00E336DF">
      <w:pPr>
        <w:spacing w:after="0" w:line="240" w:lineRule="auto"/>
        <w:jc w:val="center"/>
        <w:rPr>
          <w:rFonts w:cstheme="minorHAnsi"/>
          <w:b/>
          <w:color w:val="242C5C"/>
          <w:sz w:val="36"/>
          <w:szCs w:val="36"/>
        </w:rPr>
      </w:pPr>
      <w:bookmarkStart w:id="0" w:name="_Hlk61247059"/>
      <w:bookmarkEnd w:id="0"/>
      <w:r w:rsidRPr="005E4833">
        <w:rPr>
          <w:rFonts w:cstheme="minorHAnsi"/>
          <w:b/>
          <w:color w:val="242C5C"/>
          <w:sz w:val="36"/>
          <w:szCs w:val="36"/>
        </w:rPr>
        <w:t xml:space="preserve">ITOPF’s Annual Statistics Show a Promising Start </w:t>
      </w:r>
    </w:p>
    <w:p w14:paraId="0503F313" w14:textId="2BB98875" w:rsidR="005E4833" w:rsidRPr="005E4833" w:rsidRDefault="005E4833" w:rsidP="00E336DF">
      <w:pPr>
        <w:spacing w:after="240" w:line="240" w:lineRule="auto"/>
        <w:jc w:val="center"/>
        <w:rPr>
          <w:rFonts w:cstheme="minorHAnsi"/>
          <w:sz w:val="16"/>
          <w:szCs w:val="16"/>
        </w:rPr>
      </w:pPr>
      <w:r w:rsidRPr="005E4833">
        <w:rPr>
          <w:rFonts w:cstheme="minorHAnsi"/>
          <w:b/>
          <w:color w:val="242C5C"/>
          <w:sz w:val="36"/>
          <w:szCs w:val="36"/>
        </w:rPr>
        <w:t>to the New Decade</w:t>
      </w:r>
    </w:p>
    <w:p w14:paraId="264270F1" w14:textId="1BDAABBB" w:rsidR="005E4833" w:rsidRPr="005E4833" w:rsidRDefault="005E4833" w:rsidP="00E336DF">
      <w:pPr>
        <w:spacing w:after="240" w:line="240" w:lineRule="auto"/>
        <w:jc w:val="both"/>
        <w:rPr>
          <w:rFonts w:cstheme="minorHAnsi"/>
        </w:rPr>
      </w:pPr>
      <w:r w:rsidRPr="005E4833">
        <w:rPr>
          <w:rFonts w:cstheme="minorHAnsi"/>
        </w:rPr>
        <w:t>1</w:t>
      </w:r>
      <w:r w:rsidR="00DD1D35">
        <w:rPr>
          <w:rFonts w:cstheme="minorHAnsi"/>
        </w:rPr>
        <w:t>2</w:t>
      </w:r>
      <w:r w:rsidR="00DD1D35" w:rsidRPr="00DD1D35">
        <w:rPr>
          <w:rFonts w:cstheme="minorHAnsi"/>
          <w:vertAlign w:val="superscript"/>
        </w:rPr>
        <w:t>th</w:t>
      </w:r>
      <w:r w:rsidR="00DD1D35">
        <w:rPr>
          <w:rFonts w:cstheme="minorHAnsi"/>
        </w:rPr>
        <w:t xml:space="preserve"> </w:t>
      </w:r>
      <w:r w:rsidRPr="005E4833">
        <w:rPr>
          <w:rFonts w:cstheme="minorHAnsi"/>
        </w:rPr>
        <w:t>January 2021</w:t>
      </w:r>
    </w:p>
    <w:p w14:paraId="5DF38CDD" w14:textId="3A2EF812" w:rsidR="005E4833" w:rsidRPr="005E4833" w:rsidRDefault="005E4833" w:rsidP="00E336DF">
      <w:pPr>
        <w:spacing w:line="240" w:lineRule="auto"/>
        <w:jc w:val="both"/>
        <w:rPr>
          <w:rFonts w:cstheme="minorHAnsi"/>
        </w:rPr>
      </w:pPr>
      <w:r w:rsidRPr="005E4833">
        <w:rPr>
          <w:rFonts w:cstheme="minorHAnsi"/>
        </w:rPr>
        <w:t>ITOPF’s annual statistics of oil spills from tankers show that there were only 3 incidents where more than 7 tonnes of oil were spilt in 2020. The total volume of oil lost in all 3 incidents was approximately 1,000 MT making it amongst the lowest on record. At a time when the annual volume of oil moved by sea is approximately 3 billion tonnes</w:t>
      </w:r>
      <w:r w:rsidR="001F4B82">
        <w:rPr>
          <w:rStyle w:val="FootnoteReference"/>
          <w:rFonts w:cstheme="minorHAnsi"/>
        </w:rPr>
        <w:footnoteReference w:id="1"/>
      </w:r>
      <w:r w:rsidRPr="005E4833">
        <w:rPr>
          <w:rFonts w:cstheme="minorHAnsi"/>
        </w:rPr>
        <w:t xml:space="preserve">, this means that the effort to ensure oil cargoes arrive at their destinations safely is paying off. </w:t>
      </w:r>
    </w:p>
    <w:p w14:paraId="636FE6C8" w14:textId="60087A6B" w:rsidR="005E4833" w:rsidRPr="005E4833" w:rsidRDefault="005E4833" w:rsidP="00E336DF">
      <w:pPr>
        <w:spacing w:line="240" w:lineRule="auto"/>
        <w:jc w:val="both"/>
        <w:rPr>
          <w:rFonts w:cstheme="minorHAnsi"/>
        </w:rPr>
      </w:pPr>
      <w:r w:rsidRPr="005E4833">
        <w:rPr>
          <w:rFonts w:cstheme="minorHAnsi"/>
        </w:rPr>
        <w:t xml:space="preserve">Using ITOPF’s categorisation for sizes of oil spill, there were no large spills (&gt;700 tonnes) </w:t>
      </w:r>
      <w:r>
        <w:rPr>
          <w:rFonts w:cstheme="minorHAnsi"/>
        </w:rPr>
        <w:t xml:space="preserve">in 2020 </w:t>
      </w:r>
      <w:r w:rsidRPr="005E4833">
        <w:rPr>
          <w:rFonts w:cstheme="minorHAnsi"/>
        </w:rPr>
        <w:t xml:space="preserve">and the 3 incidents recorded were all categorised as medium spills (7-700 tonnes); with one each occurring in Europe, Africa, and Asia. </w:t>
      </w:r>
    </w:p>
    <w:p w14:paraId="422CE48A" w14:textId="681BBD21" w:rsidR="005E4833" w:rsidRDefault="005E4833" w:rsidP="00E336DF">
      <w:pPr>
        <w:spacing w:line="240" w:lineRule="auto"/>
        <w:jc w:val="both"/>
        <w:rPr>
          <w:rFonts w:cstheme="minorHAnsi"/>
        </w:rPr>
      </w:pPr>
      <w:r w:rsidRPr="005E4833">
        <w:rPr>
          <w:rFonts w:cstheme="minorHAnsi"/>
        </w:rPr>
        <w:t>During the half century since ITOPF’s records began, the frequency of large oil spills (&gt; 700 tonnes) has plummeted such that their occurrence is now a rarity. To report meaningful changes, ITOPF now needs to refer to its lower categorisation of spills, i.e. medium spills (between 7 and 700 tonnes).</w:t>
      </w:r>
      <w:r>
        <w:rPr>
          <w:rFonts w:cstheme="minorHAnsi"/>
        </w:rPr>
        <w:t xml:space="preserve"> </w:t>
      </w:r>
    </w:p>
    <w:p w14:paraId="2356CFA7" w14:textId="77777777" w:rsidR="005E4833" w:rsidRDefault="005E4833" w:rsidP="00E336DF">
      <w:pPr>
        <w:spacing w:line="240" w:lineRule="auto"/>
        <w:jc w:val="both"/>
        <w:rPr>
          <w:rFonts w:cstheme="minorHAnsi"/>
        </w:rPr>
      </w:pPr>
      <w:r w:rsidRPr="005E4833">
        <w:rPr>
          <w:rFonts w:cstheme="minorHAnsi"/>
        </w:rPr>
        <w:t xml:space="preserve">The average number of spills greater than 7 tonnes per year in the 1970s was about 79 but this has decreased by over 90% to just 6 in the last decade, as illustrated below. </w:t>
      </w:r>
    </w:p>
    <w:p w14:paraId="3340E809" w14:textId="4F484A4A" w:rsidR="005E4833" w:rsidRPr="005E4833" w:rsidRDefault="005E4833" w:rsidP="005E4833">
      <w:pPr>
        <w:spacing w:line="360" w:lineRule="auto"/>
        <w:jc w:val="both"/>
        <w:rPr>
          <w:rFonts w:cstheme="minorHAnsi"/>
        </w:rPr>
      </w:pPr>
      <w:r>
        <w:rPr>
          <w:rFonts w:cstheme="minorHAnsi"/>
          <w:noProof/>
        </w:rPr>
        <w:drawing>
          <wp:inline distT="0" distB="0" distL="0" distR="0" wp14:anchorId="4D46BB8C" wp14:editId="7F08A0CF">
            <wp:extent cx="5732145" cy="3324225"/>
            <wp:effectExtent l="0" t="0" r="1905" b="9525"/>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rotWithShape="1">
                    <a:blip r:embed="rId8">
                      <a:extLst>
                        <a:ext uri="{28A0092B-C50C-407E-A947-70E740481C1C}">
                          <a14:useLocalDpi xmlns:a14="http://schemas.microsoft.com/office/drawing/2010/main" val="0"/>
                        </a:ext>
                      </a:extLst>
                    </a:blip>
                    <a:srcRect t="10414" b="3042"/>
                    <a:stretch/>
                  </pic:blipFill>
                  <pic:spPr bwMode="auto">
                    <a:xfrm>
                      <a:off x="0" y="0"/>
                      <a:ext cx="5732145" cy="3324225"/>
                    </a:xfrm>
                    <a:prstGeom prst="rect">
                      <a:avLst/>
                    </a:prstGeom>
                    <a:ln>
                      <a:noFill/>
                    </a:ln>
                    <a:extLst>
                      <a:ext uri="{53640926-AAD7-44D8-BBD7-CCE9431645EC}">
                        <a14:shadowObscured xmlns:a14="http://schemas.microsoft.com/office/drawing/2010/main"/>
                      </a:ext>
                    </a:extLst>
                  </pic:spPr>
                </pic:pic>
              </a:graphicData>
            </a:graphic>
          </wp:inline>
        </w:drawing>
      </w:r>
    </w:p>
    <w:p w14:paraId="536AD7B4" w14:textId="1A509A1B" w:rsidR="005E4833" w:rsidRPr="005E4833" w:rsidRDefault="005E4833" w:rsidP="005E4833">
      <w:pPr>
        <w:jc w:val="both"/>
        <w:rPr>
          <w:rFonts w:cstheme="minorHAnsi"/>
        </w:rPr>
      </w:pPr>
      <w:bookmarkStart w:id="1" w:name="_Hlk534799332"/>
      <w:r w:rsidRPr="005E4833">
        <w:rPr>
          <w:rFonts w:cstheme="minorHAnsi"/>
          <w:i/>
          <w:color w:val="7F7F7F" w:themeColor="text1" w:themeTint="80"/>
        </w:rPr>
        <w:t xml:space="preserve">Number of large (&gt;700 tonnes) and medium (7-700 tonnes) spills recorded from 1970 to </w:t>
      </w:r>
      <w:bookmarkEnd w:id="1"/>
      <w:r w:rsidRPr="005E4833">
        <w:rPr>
          <w:rFonts w:cstheme="minorHAnsi"/>
          <w:i/>
          <w:color w:val="7F7F7F" w:themeColor="text1" w:themeTint="80"/>
        </w:rPr>
        <w:t>2020</w:t>
      </w:r>
    </w:p>
    <w:p w14:paraId="29E7A5D5" w14:textId="7050C4CF" w:rsidR="005E4833" w:rsidRDefault="005E4833" w:rsidP="00E336DF">
      <w:pPr>
        <w:spacing w:after="0" w:line="240" w:lineRule="auto"/>
        <w:jc w:val="both"/>
        <w:rPr>
          <w:rFonts w:cstheme="minorHAnsi"/>
        </w:rPr>
      </w:pPr>
      <w:r w:rsidRPr="005E4833">
        <w:rPr>
          <w:rFonts w:cstheme="minorHAnsi"/>
        </w:rPr>
        <w:t xml:space="preserve">When comparing how the oil was spilt in each decade, it is interesting to note that as the number of oil spills have decreased, the relative proportion of spills arising from allisions and collisions has increased, accounting for around 44% of all oil spills from tankers greater than 7 tonnes.  Although accidents regrettably remain a possibility, the shipping industry, supported by governments, continues to strive </w:t>
      </w:r>
      <w:r w:rsidRPr="005E4833">
        <w:rPr>
          <w:rFonts w:cstheme="minorHAnsi"/>
        </w:rPr>
        <w:lastRenderedPageBreak/>
        <w:t>towards a goal of zero spills, learning lessons from incidents such as these to reach the highest level of safety and environmental stewardship.</w:t>
      </w:r>
    </w:p>
    <w:p w14:paraId="659B31FB" w14:textId="77777777" w:rsidR="00435B54" w:rsidRPr="005E4833" w:rsidRDefault="00435B54" w:rsidP="00E336DF">
      <w:pPr>
        <w:spacing w:after="0" w:line="240" w:lineRule="auto"/>
        <w:jc w:val="both"/>
        <w:rPr>
          <w:rFonts w:cstheme="minorHAnsi"/>
        </w:rPr>
      </w:pPr>
    </w:p>
    <w:p w14:paraId="23D5B036" w14:textId="528DB715" w:rsidR="005E4833" w:rsidRDefault="005E4833" w:rsidP="00E336DF">
      <w:pPr>
        <w:spacing w:after="0" w:line="240" w:lineRule="auto"/>
        <w:jc w:val="both"/>
        <w:rPr>
          <w:rFonts w:cstheme="minorHAnsi"/>
        </w:rPr>
      </w:pPr>
      <w:r w:rsidRPr="005E4833">
        <w:rPr>
          <w:rFonts w:cstheme="minorHAnsi"/>
        </w:rPr>
        <w:t xml:space="preserve">It is important to note that although ITOPF attends incidents from tankers and non-tankers, for historical reasons the annual statistics publication only reports incidents involving tankers, combined carriers and barges. Accidents involving non-tank vessels which carry oil as bunker fuel, such as container ships, bulk carriers and general cargo ships, may also be a source of pollution. This was unfortunately demonstrated following the grounding of the bulk carrier WAKASHIO off the coast of Mauritius in July 2020. </w:t>
      </w:r>
    </w:p>
    <w:p w14:paraId="1C1FE08B" w14:textId="77777777" w:rsidR="005E4833" w:rsidRDefault="005E4833">
      <w:pPr>
        <w:rPr>
          <w:rFonts w:cstheme="minorHAnsi"/>
        </w:rPr>
      </w:pPr>
      <w:r>
        <w:rPr>
          <w:rFonts w:cstheme="minorHAnsi"/>
        </w:rPr>
        <w:br w:type="page"/>
      </w:r>
    </w:p>
    <w:p w14:paraId="4FE9CF74" w14:textId="66636215" w:rsidR="0089300D" w:rsidRDefault="0089300D" w:rsidP="0089300D">
      <w:pPr>
        <w:rPr>
          <w:rFonts w:cs="Tahoma"/>
          <w:b/>
          <w:sz w:val="28"/>
          <w:szCs w:val="28"/>
          <w:u w:val="single"/>
        </w:rPr>
      </w:pPr>
      <w:r>
        <w:rPr>
          <w:rFonts w:cs="Tahoma"/>
          <w:b/>
          <w:sz w:val="28"/>
          <w:szCs w:val="28"/>
          <w:u w:val="single"/>
        </w:rPr>
        <w:lastRenderedPageBreak/>
        <w:t>Notes for Editors</w:t>
      </w:r>
    </w:p>
    <w:p w14:paraId="57C8829C" w14:textId="77777777" w:rsidR="0089300D" w:rsidRPr="00DB736D" w:rsidRDefault="0089300D" w:rsidP="00DB32F2">
      <w:pPr>
        <w:spacing w:after="100" w:afterAutospacing="1" w:line="240" w:lineRule="auto"/>
      </w:pPr>
      <w:r w:rsidRPr="00DB736D">
        <w:t>ITOPF maintains a database of oil spills from tank vessels, including combined carriers, FPSOs and barges. This contains information on accidental spillages of persistent and non-persistent oil since 1970, except those resulting from acts of war. The data held includes the location and cause of the incident, the vessel involved, the type of oil spilt and the spill amount. For historical reasons, spills are generally categorised by size, &lt;7 tonnes, 7–700 tonnes and &gt;700 tonnes (&lt;50 bbls, 50–5,000 bbls, &gt;5,000 bbls), although the actual amount spilt is also recorded. Information is now held on over 10,000 incidents, the vast majority of which fall into the smallest category i.e. &lt;7 tonnes.</w:t>
      </w:r>
    </w:p>
    <w:p w14:paraId="3B3CD247" w14:textId="677CA234" w:rsidR="00D5288B" w:rsidRDefault="0089300D" w:rsidP="00DB32F2">
      <w:pPr>
        <w:spacing w:after="100" w:afterAutospacing="1" w:line="240" w:lineRule="auto"/>
        <w:jc w:val="both"/>
        <w:rPr>
          <w:rFonts w:cstheme="minorHAnsi"/>
        </w:rPr>
      </w:pPr>
      <w:r>
        <w:rPr>
          <w:rFonts w:ascii="Calibri" w:hAnsi="Calibri"/>
        </w:rPr>
        <w:t xml:space="preserve">Further details are available on the </w:t>
      </w:r>
      <w:hyperlink r:id="rId9" w:history="1">
        <w:r w:rsidRPr="00AA3686">
          <w:rPr>
            <w:rStyle w:val="Hyperlink"/>
            <w:rFonts w:ascii="Calibri" w:hAnsi="Calibri"/>
          </w:rPr>
          <w:t>statistics</w:t>
        </w:r>
      </w:hyperlink>
      <w:r>
        <w:rPr>
          <w:rFonts w:ascii="Calibri" w:hAnsi="Calibri"/>
        </w:rPr>
        <w:t xml:space="preserve"> page of ITOPF’s website. </w:t>
      </w:r>
      <w:r w:rsidR="00D5288B">
        <w:rPr>
          <w:rFonts w:ascii="Calibri" w:hAnsi="Calibri"/>
        </w:rPr>
        <w:t xml:space="preserve"> </w:t>
      </w: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744C1A74" w14:textId="6439403B" w:rsidR="006D2C7B" w:rsidRPr="000F2394" w:rsidRDefault="006D2C7B" w:rsidP="006D2C7B">
      <w:pPr>
        <w:spacing w:after="0" w:line="240" w:lineRule="auto"/>
        <w:jc w:val="both"/>
        <w:rPr>
          <w:rFonts w:cs="Arial"/>
        </w:rPr>
      </w:pPr>
      <w:r w:rsidRPr="000F2394">
        <w:rPr>
          <w:rFonts w:cs="Arial"/>
        </w:rPr>
        <w:t xml:space="preserve">1. </w:t>
      </w:r>
      <w:r w:rsidR="0089300D">
        <w:rPr>
          <w:rFonts w:cs="Arial"/>
        </w:rPr>
        <w:t>Established</w:t>
      </w:r>
      <w:r w:rsidRPr="000F2394">
        <w:rPr>
          <w:rFonts w:cs="Arial"/>
        </w:rPr>
        <w:t xml:space="preserve"> in 1968</w:t>
      </w:r>
      <w:r w:rsidR="0089300D">
        <w:rPr>
          <w:rFonts w:cs="Arial"/>
        </w:rPr>
        <w:t xml:space="preserve">, ITOPF </w:t>
      </w:r>
      <w:r w:rsidR="00782A98">
        <w:rPr>
          <w:rFonts w:cs="Arial"/>
        </w:rPr>
        <w:t xml:space="preserve">is maintained by the world’s shipowners and their insurers on a not-for-profit basis to promote effective response to spills of oil, chemicals and other substances in the marine environment. </w:t>
      </w:r>
      <w:r w:rsidRPr="000F2394">
        <w:rPr>
          <w:rFonts w:cs="Arial"/>
        </w:rPr>
        <w:t xml:space="preserve"> </w:t>
      </w:r>
    </w:p>
    <w:p w14:paraId="269FC7FB" w14:textId="77777777" w:rsidR="006D2C7B" w:rsidRPr="000F2394" w:rsidRDefault="006D2C7B" w:rsidP="006D2C7B">
      <w:pPr>
        <w:spacing w:after="0" w:line="240" w:lineRule="auto"/>
        <w:jc w:val="both"/>
        <w:rPr>
          <w:rFonts w:cs="Arial"/>
        </w:rPr>
      </w:pPr>
    </w:p>
    <w:p w14:paraId="5AC7BB21" w14:textId="232000A4" w:rsidR="006D2C7B" w:rsidRPr="000F2394" w:rsidRDefault="006D2C7B" w:rsidP="006D2C7B">
      <w:pPr>
        <w:spacing w:after="0" w:line="240" w:lineRule="auto"/>
        <w:jc w:val="both"/>
        <w:rPr>
          <w:rFonts w:cs="Arial"/>
        </w:rPr>
      </w:pPr>
      <w:r w:rsidRPr="000F2394">
        <w:rPr>
          <w:rFonts w:cs="Arial"/>
        </w:rPr>
        <w:t xml:space="preserve">2. ITOPF's </w:t>
      </w:r>
      <w:r w:rsidR="00555253">
        <w:rPr>
          <w:rFonts w:cs="Arial"/>
        </w:rPr>
        <w:t xml:space="preserve">Membership currently comprises </w:t>
      </w:r>
      <w:r w:rsidR="00CF41D3">
        <w:rPr>
          <w:rFonts w:cs="Arial"/>
        </w:rPr>
        <w:t>around 8,</w:t>
      </w:r>
      <w:r w:rsidR="0025276E">
        <w:rPr>
          <w:rFonts w:cs="Arial"/>
        </w:rPr>
        <w:t>2</w:t>
      </w:r>
      <w:r w:rsidR="00CF41D3">
        <w:rPr>
          <w:rFonts w:cs="Arial"/>
        </w:rPr>
        <w:t>00</w:t>
      </w:r>
      <w:r w:rsidRPr="000F2394">
        <w:rPr>
          <w:rFonts w:cs="Arial"/>
        </w:rPr>
        <w:t xml:space="preserve"> owners and bareboat charterers of approximately </w:t>
      </w:r>
      <w:r w:rsidR="00822CD1">
        <w:rPr>
          <w:rFonts w:cs="Arial"/>
        </w:rPr>
        <w:t>13</w:t>
      </w:r>
      <w:r w:rsidRPr="000F2394">
        <w:rPr>
          <w:rFonts w:cs="Arial"/>
        </w:rPr>
        <w:t>,</w:t>
      </w:r>
      <w:r w:rsidR="0025276E">
        <w:rPr>
          <w:rFonts w:cs="Arial"/>
        </w:rPr>
        <w:t>9</w:t>
      </w:r>
      <w:r>
        <w:rPr>
          <w:rFonts w:cs="Arial"/>
        </w:rPr>
        <w:t>0</w:t>
      </w:r>
      <w:r w:rsidRPr="000F2394">
        <w:rPr>
          <w:rFonts w:cs="Arial"/>
        </w:rPr>
        <w:t xml:space="preserve">0 tank vessels with a total gross tonnage of </w:t>
      </w:r>
      <w:r w:rsidR="00CF41D3">
        <w:rPr>
          <w:rFonts w:cs="Arial"/>
        </w:rPr>
        <w:t>over 4</w:t>
      </w:r>
      <w:r w:rsidR="0025276E">
        <w:rPr>
          <w:rFonts w:cs="Arial"/>
        </w:rPr>
        <w:t>45</w:t>
      </w:r>
      <w:r w:rsidRPr="000F2394">
        <w:rPr>
          <w:rFonts w:cs="Arial"/>
        </w:rPr>
        <w:t xml:space="preserve"> million GT.  The organisation also benefits from the participation of </w:t>
      </w:r>
      <w:r w:rsidR="0037659B">
        <w:rPr>
          <w:rFonts w:cs="Arial"/>
        </w:rPr>
        <w:t>over 8</w:t>
      </w:r>
      <w:r w:rsidR="0025276E">
        <w:rPr>
          <w:rFonts w:cs="Arial"/>
        </w:rPr>
        <w:t>4</w:t>
      </w:r>
      <w:r w:rsidR="0037659B">
        <w:rPr>
          <w:rFonts w:cs="Arial"/>
        </w:rPr>
        <w:t>0</w:t>
      </w:r>
      <w:r>
        <w:rPr>
          <w:rFonts w:cs="Arial"/>
        </w:rPr>
        <w:t xml:space="preserve"> </w:t>
      </w:r>
      <w:r w:rsidRPr="000F2394">
        <w:rPr>
          <w:rFonts w:cs="Arial"/>
        </w:rPr>
        <w:t>million GT of non-tanker tonnage owned and operated by its Associates.</w:t>
      </w:r>
    </w:p>
    <w:p w14:paraId="3B62BDC0" w14:textId="77777777" w:rsidR="006D2C7B" w:rsidRPr="000F2394" w:rsidRDefault="006D2C7B" w:rsidP="006D2C7B">
      <w:pPr>
        <w:spacing w:after="0" w:line="240" w:lineRule="auto"/>
        <w:jc w:val="both"/>
        <w:rPr>
          <w:rFonts w:cs="Arial"/>
        </w:rPr>
      </w:pPr>
    </w:p>
    <w:p w14:paraId="44BBAB0D" w14:textId="48C00EBC" w:rsidR="00644A91" w:rsidRDefault="006D2C7B" w:rsidP="006D2C7B">
      <w:pPr>
        <w:spacing w:after="0" w:line="240" w:lineRule="auto"/>
        <w:jc w:val="both"/>
      </w:pPr>
      <w:r w:rsidRPr="000F2394">
        <w:rPr>
          <w:rFonts w:cs="Arial"/>
        </w:rPr>
        <w:t>3.  ITOPF's priority service is responding to accidental marine spills</w:t>
      </w:r>
      <w:r w:rsidR="00AA5EB1">
        <w:rPr>
          <w:rFonts w:cs="Arial"/>
        </w:rPr>
        <w:t xml:space="preserve"> from ships</w:t>
      </w:r>
      <w:r w:rsidR="00EF6C82">
        <w:rPr>
          <w:rFonts w:cs="Arial"/>
        </w:rPr>
        <w:t>. IT</w:t>
      </w:r>
      <w:r w:rsidRPr="000F2394">
        <w:t xml:space="preserve">OPF staff have attended on-site at </w:t>
      </w:r>
      <w:r w:rsidR="0037659B">
        <w:t>over</w:t>
      </w:r>
      <w:r w:rsidR="00555253">
        <w:t xml:space="preserve"> 800</w:t>
      </w:r>
      <w:r w:rsidRPr="000F2394">
        <w:t xml:space="preserve"> incidents </w:t>
      </w:r>
      <w:r w:rsidR="00EF6C82">
        <w:t>in 100 countries</w:t>
      </w:r>
      <w:r w:rsidRPr="000F2394">
        <w:t xml:space="preserve">, giving the organisation unparalleled practical experience of the realities of combating marine spills. </w:t>
      </w:r>
    </w:p>
    <w:p w14:paraId="3AEA0A6B" w14:textId="77777777" w:rsidR="00644A91" w:rsidRDefault="00644A91" w:rsidP="006D2C7B">
      <w:pPr>
        <w:spacing w:after="0" w:line="240" w:lineRule="auto"/>
        <w:jc w:val="both"/>
      </w:pPr>
    </w:p>
    <w:p w14:paraId="561643A5" w14:textId="6E9DE86A" w:rsidR="006D2C7B" w:rsidRPr="000F2394" w:rsidRDefault="006D2C7B" w:rsidP="006D2C7B">
      <w:pPr>
        <w:spacing w:after="0" w:line="240" w:lineRule="auto"/>
        <w:jc w:val="both"/>
      </w:pPr>
      <w:r w:rsidRPr="000F2394">
        <w:t>ITOPF also:</w:t>
      </w:r>
    </w:p>
    <w:p w14:paraId="2F2DE310" w14:textId="77777777" w:rsidR="006D2C7B" w:rsidRPr="000F2394" w:rsidRDefault="006D2C7B" w:rsidP="006D2C7B">
      <w:pPr>
        <w:spacing w:after="0" w:line="240" w:lineRule="auto"/>
        <w:jc w:val="both"/>
      </w:pPr>
    </w:p>
    <w:p w14:paraId="0E6CB9A7" w14:textId="77777777" w:rsidR="006D2C7B" w:rsidRPr="000F2394" w:rsidRDefault="006D2C7B" w:rsidP="006D2C7B">
      <w:pPr>
        <w:pStyle w:val="ListParagraph"/>
        <w:numPr>
          <w:ilvl w:val="0"/>
          <w:numId w:val="2"/>
        </w:numPr>
        <w:spacing w:after="0" w:line="240" w:lineRule="auto"/>
        <w:jc w:val="both"/>
      </w:pPr>
      <w:r w:rsidRPr="000F2394">
        <w:t xml:space="preserve">assesses the damage caused by spills to the environment and economic resources; </w:t>
      </w:r>
    </w:p>
    <w:p w14:paraId="7C1AF12A" w14:textId="77777777" w:rsidR="006D2C7B" w:rsidRPr="000F2394" w:rsidRDefault="006D2C7B" w:rsidP="006D2C7B">
      <w:pPr>
        <w:pStyle w:val="ListParagraph"/>
        <w:numPr>
          <w:ilvl w:val="0"/>
          <w:numId w:val="2"/>
        </w:numPr>
        <w:spacing w:after="0" w:line="240" w:lineRule="auto"/>
        <w:jc w:val="both"/>
      </w:pPr>
      <w:r w:rsidRPr="000F2394">
        <w:t xml:space="preserve">provides advice on the technical merits of claims for compensation; </w:t>
      </w:r>
    </w:p>
    <w:p w14:paraId="30A2CC9F" w14:textId="77777777" w:rsidR="006D2C7B" w:rsidRPr="000F2394" w:rsidRDefault="006D2C7B" w:rsidP="006D2C7B">
      <w:pPr>
        <w:pStyle w:val="ListParagraph"/>
        <w:numPr>
          <w:ilvl w:val="0"/>
          <w:numId w:val="2"/>
        </w:numPr>
        <w:spacing w:after="0" w:line="240" w:lineRule="auto"/>
        <w:jc w:val="both"/>
      </w:pPr>
      <w:r w:rsidRPr="000F2394">
        <w:t xml:space="preserve">conducts contingency planning, advisory and training assignments; </w:t>
      </w:r>
    </w:p>
    <w:p w14:paraId="7E1724AA" w14:textId="2D218E41" w:rsidR="006D2C7B" w:rsidRPr="000F2394" w:rsidRDefault="00782A98" w:rsidP="00A326E8">
      <w:pPr>
        <w:pStyle w:val="ListParagraph"/>
        <w:numPr>
          <w:ilvl w:val="0"/>
          <w:numId w:val="2"/>
        </w:numPr>
        <w:spacing w:after="0" w:line="240" w:lineRule="auto"/>
        <w:jc w:val="both"/>
      </w:pPr>
      <w:r>
        <w:t>is a primary source of information on ship-source spills through its technical publications, films and website</w:t>
      </w:r>
      <w:r w:rsidR="00C76059">
        <w:t xml:space="preserve"> (</w:t>
      </w:r>
      <w:hyperlink r:id="rId10" w:history="1">
        <w:r w:rsidR="00C76059" w:rsidRPr="000D192C">
          <w:rPr>
            <w:rStyle w:val="Hyperlink"/>
          </w:rPr>
          <w:t>www.itopf.org</w:t>
        </w:r>
      </w:hyperlink>
      <w:r w:rsidR="00C76059">
        <w:rPr>
          <w:rStyle w:val="Hyperlink"/>
        </w:rPr>
        <w:t xml:space="preserve">). </w:t>
      </w:r>
    </w:p>
    <w:p w14:paraId="58E68FC2" w14:textId="77777777" w:rsidR="006D2C7B" w:rsidRPr="000F2394" w:rsidRDefault="006D2C7B" w:rsidP="006D2C7B">
      <w:pPr>
        <w:spacing w:after="0" w:line="240" w:lineRule="auto"/>
        <w:jc w:val="both"/>
      </w:pPr>
    </w:p>
    <w:p w14:paraId="2025E503" w14:textId="77777777" w:rsidR="006D2C7B" w:rsidRPr="000F2394" w:rsidRDefault="006D2C7B" w:rsidP="006D2C7B">
      <w:pPr>
        <w:spacing w:after="0" w:line="240" w:lineRule="auto"/>
        <w:jc w:val="both"/>
      </w:pPr>
      <w:r w:rsidRPr="000F2394">
        <w:t xml:space="preserve">4.  </w:t>
      </w:r>
      <w:r w:rsidRPr="000F2394">
        <w:tab/>
        <w:t>For further information contact:</w:t>
      </w:r>
    </w:p>
    <w:p w14:paraId="68CF6E44" w14:textId="77777777" w:rsidR="006D2C7B" w:rsidRPr="000F2394" w:rsidRDefault="006D2C7B" w:rsidP="006D2C7B">
      <w:pPr>
        <w:spacing w:after="0" w:line="240" w:lineRule="auto"/>
        <w:jc w:val="both"/>
      </w:pPr>
    </w:p>
    <w:p w14:paraId="78C62029" w14:textId="77777777" w:rsidR="006D2C7B" w:rsidRPr="000F2394" w:rsidRDefault="006D2C7B" w:rsidP="006D2C7B">
      <w:pPr>
        <w:spacing w:after="0" w:line="240" w:lineRule="auto"/>
        <w:jc w:val="both"/>
      </w:pPr>
      <w:r w:rsidRPr="000F2394">
        <w:tab/>
      </w:r>
      <w:r w:rsidRPr="000F2394">
        <w:tab/>
        <w:t xml:space="preserve">Dr </w:t>
      </w:r>
      <w:r>
        <w:t>Karen Purnell</w:t>
      </w:r>
      <w:r w:rsidRPr="000F2394">
        <w:t xml:space="preserve"> (</w:t>
      </w:r>
      <w:r>
        <w:t>Managing Director</w:t>
      </w:r>
      <w:r w:rsidRPr="000F2394">
        <w:t>)</w:t>
      </w:r>
    </w:p>
    <w:p w14:paraId="63CCAF97" w14:textId="26CE5F2E" w:rsidR="006D2C7B" w:rsidRPr="000F2394" w:rsidRDefault="006D2C7B" w:rsidP="006D2C7B">
      <w:pPr>
        <w:spacing w:after="0" w:line="240" w:lineRule="auto"/>
        <w:ind w:left="720" w:firstLine="720"/>
        <w:jc w:val="both"/>
      </w:pPr>
      <w:r w:rsidRPr="000F2394">
        <w:t>M</w:t>
      </w:r>
      <w:r>
        <w:t xml:space="preserve">rs </w:t>
      </w:r>
      <w:r w:rsidRPr="000F2394">
        <w:t xml:space="preserve">Deborah </w:t>
      </w:r>
      <w:r>
        <w:t>McKendrick</w:t>
      </w:r>
      <w:r w:rsidRPr="000F2394">
        <w:t xml:space="preserve"> (</w:t>
      </w:r>
      <w:r w:rsidR="00280D4A">
        <w:t xml:space="preserve">Senior </w:t>
      </w:r>
      <w:r w:rsidRPr="000F2394">
        <w:t>Information Officer)</w:t>
      </w:r>
    </w:p>
    <w:p w14:paraId="3E7926DF" w14:textId="71B9BD85" w:rsidR="006D2C7B" w:rsidRPr="000F2394" w:rsidRDefault="006D2C7B" w:rsidP="006D2C7B">
      <w:pPr>
        <w:spacing w:after="0" w:line="240" w:lineRule="auto"/>
        <w:jc w:val="both"/>
      </w:pPr>
      <w:r w:rsidRPr="000F2394">
        <w:tab/>
      </w:r>
      <w:r w:rsidRPr="000F2394">
        <w:tab/>
      </w:r>
      <w:r w:rsidR="00AD0B4B" w:rsidRPr="000F2394">
        <w:t>ITOPF</w:t>
      </w:r>
      <w:r w:rsidRPr="000F2394">
        <w:t xml:space="preserve"> Limited </w:t>
      </w:r>
    </w:p>
    <w:p w14:paraId="48D50BE2" w14:textId="0FE33990" w:rsidR="006D2C7B" w:rsidRPr="000F2394" w:rsidRDefault="006D2C7B" w:rsidP="006D2C7B">
      <w:pPr>
        <w:spacing w:after="0" w:line="240" w:lineRule="auto"/>
        <w:jc w:val="both"/>
      </w:pPr>
      <w:r w:rsidRPr="000F2394">
        <w:tab/>
      </w:r>
      <w:r w:rsidRPr="000F2394">
        <w:tab/>
        <w:t>1 Oliver’s Yard, 55 City Road, London EC1Y 1</w:t>
      </w:r>
      <w:r w:rsidR="00822CD1">
        <w:t>DT</w:t>
      </w:r>
      <w:r w:rsidR="00C76059">
        <w:t>, UK</w:t>
      </w:r>
    </w:p>
    <w:p w14:paraId="171CD436" w14:textId="77777777" w:rsidR="006D2C7B" w:rsidRPr="000F2394" w:rsidRDefault="006D2C7B" w:rsidP="006D2C7B">
      <w:pPr>
        <w:spacing w:after="0" w:line="240" w:lineRule="auto"/>
        <w:jc w:val="both"/>
      </w:pPr>
      <w:r w:rsidRPr="000F2394">
        <w:tab/>
      </w:r>
      <w:r w:rsidRPr="000F2394">
        <w:tab/>
        <w:t>Tel:  +44 (0)20 7566 6999</w:t>
      </w:r>
    </w:p>
    <w:p w14:paraId="20B02B5C" w14:textId="625C8463" w:rsidR="006D2C7B" w:rsidRPr="000F2394" w:rsidRDefault="006D2C7B" w:rsidP="006D2C7B">
      <w:pPr>
        <w:spacing w:after="0" w:line="240" w:lineRule="auto"/>
        <w:jc w:val="both"/>
        <w:rPr>
          <w:rFonts w:cs="Arial"/>
        </w:rPr>
      </w:pPr>
      <w:r w:rsidRPr="000F2394">
        <w:rPr>
          <w:rFonts w:cs="Arial"/>
        </w:rPr>
        <w:tab/>
      </w:r>
      <w:r w:rsidRPr="000F2394">
        <w:rPr>
          <w:rFonts w:cs="Arial"/>
        </w:rPr>
        <w:tab/>
      </w:r>
      <w:r>
        <w:rPr>
          <w:rFonts w:cs="Arial"/>
        </w:rPr>
        <w:t>Email:</w:t>
      </w:r>
      <w:hyperlink r:id="rId11" w:history="1">
        <w:r w:rsidR="00AD0B4B" w:rsidRPr="001236FD">
          <w:rPr>
            <w:rStyle w:val="Hyperlink"/>
            <w:rFonts w:cs="Arial"/>
          </w:rPr>
          <w:t xml:space="preserve"> deborahmckendrick@itopf.org</w:t>
        </w:r>
      </w:hyperlink>
    </w:p>
    <w:p w14:paraId="5B5815B6" w14:textId="03BB1B89" w:rsidR="006D2C7B" w:rsidRPr="000F2394" w:rsidRDefault="006D2C7B" w:rsidP="001F4001">
      <w:pPr>
        <w:spacing w:after="0" w:line="240" w:lineRule="auto"/>
        <w:jc w:val="both"/>
        <w:rPr>
          <w:rFonts w:cs="Tahoma"/>
          <w:b/>
          <w:sz w:val="28"/>
          <w:szCs w:val="28"/>
          <w:u w:val="single"/>
        </w:rPr>
      </w:pPr>
      <w:r w:rsidRPr="000F2394">
        <w:rPr>
          <w:rFonts w:cs="Arial"/>
        </w:rPr>
        <w:tab/>
      </w:r>
      <w:r w:rsidRPr="000F2394">
        <w:rPr>
          <w:rFonts w:cs="Arial"/>
        </w:rPr>
        <w:tab/>
        <w:t xml:space="preserve">Web: </w:t>
      </w:r>
      <w:hyperlink r:id="rId12" w:history="1">
        <w:r w:rsidR="0002747A" w:rsidRPr="001236FD">
          <w:rPr>
            <w:rStyle w:val="Hyperlink"/>
            <w:rFonts w:cs="Arial"/>
          </w:rPr>
          <w:t>www.itopf.org</w:t>
        </w:r>
      </w:hyperlink>
      <w:r w:rsidRPr="000F2394">
        <w:rPr>
          <w:rFonts w:cs="Arial"/>
        </w:rPr>
        <w:tab/>
      </w:r>
      <w:r w:rsidRPr="000F2394">
        <w:rPr>
          <w:rFonts w:cs="Arial"/>
        </w:rPr>
        <w:tab/>
      </w:r>
    </w:p>
    <w:sectPr w:rsidR="006D2C7B" w:rsidRPr="000F2394" w:rsidSect="005E4833">
      <w:headerReference w:type="even" r:id="rId13"/>
      <w:headerReference w:type="default" r:id="rId14"/>
      <w:footerReference w:type="even" r:id="rId15"/>
      <w:footerReference w:type="default" r:id="rId16"/>
      <w:pgSz w:w="11907" w:h="16839" w:code="9"/>
      <w:pgMar w:top="964" w:right="1361" w:bottom="964" w:left="136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C7DF" w14:textId="77777777" w:rsidR="00960DDF" w:rsidRDefault="00960DDF" w:rsidP="0095076F">
      <w:pPr>
        <w:spacing w:after="0" w:line="240" w:lineRule="auto"/>
      </w:pPr>
      <w:r>
        <w:separator/>
      </w:r>
    </w:p>
  </w:endnote>
  <w:endnote w:type="continuationSeparator" w:id="0">
    <w:p w14:paraId="6421806B" w14:textId="77777777" w:rsidR="00960DDF" w:rsidRDefault="00960DDF"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9F7F" w14:textId="0402DB7D" w:rsidR="00E93D77" w:rsidRPr="001D6A4D" w:rsidRDefault="00E93D77" w:rsidP="00ED37D6">
    <w:pPr>
      <w:pStyle w:val="Footer"/>
      <w:pBdr>
        <w:top w:val="single" w:sz="2" w:space="5" w:color="019069"/>
      </w:pBdr>
      <w:tabs>
        <w:tab w:val="clear" w:pos="4513"/>
        <w:tab w:val="left" w:pos="142"/>
      </w:tabs>
    </w:pPr>
    <w:r>
      <w:t xml:space="preserve">ITOPF </w:t>
    </w:r>
    <w:r w:rsidR="00782A98">
      <w:t>202</w:t>
    </w:r>
    <w:r w:rsidR="00466F0D">
      <w:t>1</w:t>
    </w:r>
  </w:p>
  <w:p w14:paraId="757AA7D2" w14:textId="77777777" w:rsidR="00E93D77" w:rsidRDefault="00E9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5F01" w14:textId="5265CCFB" w:rsidR="00E93D77" w:rsidRPr="001D6A4D" w:rsidRDefault="001374B2" w:rsidP="00181ECA">
    <w:pPr>
      <w:pStyle w:val="Footer"/>
      <w:pBdr>
        <w:top w:val="single" w:sz="2" w:space="5" w:color="019069"/>
      </w:pBdr>
      <w:tabs>
        <w:tab w:val="clear" w:pos="4513"/>
        <w:tab w:val="left" w:pos="142"/>
      </w:tabs>
    </w:pPr>
    <w:r>
      <w:t>1</w:t>
    </w:r>
    <w:r w:rsidR="00DD1D35">
      <w:t>2</w:t>
    </w:r>
    <w:r w:rsidR="00782A98" w:rsidRPr="00782A98">
      <w:rPr>
        <w:vertAlign w:val="superscript"/>
      </w:rPr>
      <w:t>th</w:t>
    </w:r>
    <w:r w:rsidR="00782A98">
      <w:t xml:space="preserve"> January 202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FF8A4" w14:textId="77777777" w:rsidR="00960DDF" w:rsidRDefault="00960DDF" w:rsidP="0095076F">
      <w:pPr>
        <w:spacing w:after="0" w:line="240" w:lineRule="auto"/>
      </w:pPr>
      <w:r>
        <w:separator/>
      </w:r>
    </w:p>
  </w:footnote>
  <w:footnote w:type="continuationSeparator" w:id="0">
    <w:p w14:paraId="21FFC713" w14:textId="77777777" w:rsidR="00960DDF" w:rsidRDefault="00960DDF" w:rsidP="0095076F">
      <w:pPr>
        <w:spacing w:after="0" w:line="240" w:lineRule="auto"/>
      </w:pPr>
      <w:r>
        <w:continuationSeparator/>
      </w:r>
    </w:p>
  </w:footnote>
  <w:footnote w:id="1">
    <w:p w14:paraId="03410142" w14:textId="12EDDF35" w:rsidR="001F4B82" w:rsidRPr="001F4B82" w:rsidRDefault="001F4B82">
      <w:pPr>
        <w:pStyle w:val="FootnoteText"/>
        <w:rPr>
          <w:lang w:val="en-GB"/>
        </w:rPr>
      </w:pPr>
      <w:r>
        <w:rPr>
          <w:rStyle w:val="FootnoteReference"/>
        </w:rPr>
        <w:footnoteRef/>
      </w:r>
      <w:r>
        <w:t xml:space="preserve"> </w:t>
      </w:r>
      <w:r>
        <w:rPr>
          <w:lang w:val="en-GB"/>
        </w:rPr>
        <w:t>Source UNCTAD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12085F" w:rsidRPr="00CD77F2" w14:paraId="44C1CD60" w14:textId="77777777" w:rsidTr="00685563">
      <w:tc>
        <w:tcPr>
          <w:tcW w:w="1119" w:type="dxa"/>
        </w:tcPr>
        <w:p w14:paraId="59B410AB" w14:textId="77777777" w:rsidR="0012085F" w:rsidRDefault="0012085F" w:rsidP="0012085F">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59F0A6F4" wp14:editId="0041C705">
                <wp:extent cx="546455" cy="590550"/>
                <wp:effectExtent l="0" t="0" r="635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6BF0653B" w14:textId="219CAB16" w:rsidR="0012085F" w:rsidRPr="0012085F" w:rsidRDefault="0089300D" w:rsidP="0012085F">
          <w:pPr>
            <w:pStyle w:val="NormalWeb"/>
            <w:shd w:val="clear" w:color="auto" w:fill="FFFFFF"/>
            <w:tabs>
              <w:tab w:val="left" w:pos="7938"/>
            </w:tabs>
            <w:spacing w:before="0" w:after="0"/>
            <w:jc w:val="right"/>
            <w:rPr>
              <w:rFonts w:asciiTheme="minorHAnsi" w:hAnsiTheme="minorHAnsi"/>
              <w:b/>
              <w:color w:val="242C5C"/>
              <w:sz w:val="48"/>
              <w:szCs w:val="48"/>
            </w:rPr>
          </w:pPr>
          <w:r>
            <w:rPr>
              <w:rFonts w:asciiTheme="minorHAnsi" w:hAnsiTheme="minorHAnsi"/>
              <w:b/>
              <w:color w:val="242C5C"/>
              <w:sz w:val="48"/>
              <w:szCs w:val="48"/>
            </w:rPr>
            <w:t>20</w:t>
          </w:r>
          <w:r w:rsidR="00EB4776">
            <w:rPr>
              <w:rFonts w:asciiTheme="minorHAnsi" w:hAnsiTheme="minorHAnsi"/>
              <w:b/>
              <w:color w:val="242C5C"/>
              <w:sz w:val="48"/>
              <w:szCs w:val="48"/>
            </w:rPr>
            <w:t>20</w:t>
          </w:r>
          <w:r>
            <w:rPr>
              <w:rFonts w:asciiTheme="minorHAnsi" w:hAnsiTheme="minorHAnsi"/>
              <w:b/>
              <w:color w:val="242C5C"/>
              <w:sz w:val="48"/>
              <w:szCs w:val="48"/>
            </w:rPr>
            <w:t xml:space="preserve"> Oil Tanker Spill Statistics </w:t>
          </w:r>
        </w:p>
        <w:p w14:paraId="006884F8" w14:textId="77777777" w:rsidR="0012085F" w:rsidRPr="00CD77F2" w:rsidRDefault="0012085F" w:rsidP="0012085F">
          <w:pPr>
            <w:pStyle w:val="Header"/>
            <w:rPr>
              <w:rFonts w:ascii="Franklin Gothic Book" w:hAnsi="Franklin Gothic Book"/>
              <w:b/>
              <w:sz w:val="72"/>
              <w:szCs w:val="72"/>
            </w:rPr>
          </w:pPr>
        </w:p>
      </w:tc>
    </w:tr>
  </w:tbl>
  <w:p w14:paraId="5BDA93A0" w14:textId="71FD190E" w:rsidR="00E93D77" w:rsidRPr="004B53B3" w:rsidRDefault="00E93D77" w:rsidP="0012085F">
    <w:pPr>
      <w:pStyle w:val="NormalWeb"/>
      <w:shd w:val="clear" w:color="auto" w:fill="FFFFFF"/>
      <w:tabs>
        <w:tab w:val="left" w:pos="7938"/>
      </w:tabs>
      <w:spacing w:before="0" w:after="0"/>
      <w:jc w:val="right"/>
      <w:rPr>
        <w:color w:val="005A9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F021A3" w:rsidRPr="00CD77F2" w14:paraId="1EF75A40" w14:textId="77777777" w:rsidTr="00F021A3">
      <w:tc>
        <w:tcPr>
          <w:tcW w:w="1119" w:type="dxa"/>
        </w:tcPr>
        <w:p w14:paraId="2AD737D9" w14:textId="7DA2E5FA" w:rsidR="00F021A3" w:rsidRDefault="00F021A3" w:rsidP="00F021A3">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6D5DA7A6" wp14:editId="712551C3">
                <wp:extent cx="546455" cy="590550"/>
                <wp:effectExtent l="0" t="0" r="6350"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70B213F2" w14:textId="74BC8CCD" w:rsidR="00CF41D3" w:rsidRPr="009242DE" w:rsidRDefault="009242DE" w:rsidP="00CF41D3">
          <w:pPr>
            <w:pStyle w:val="NormalWeb"/>
            <w:shd w:val="clear" w:color="auto" w:fill="FFFFFF"/>
            <w:tabs>
              <w:tab w:val="left" w:pos="7938"/>
            </w:tabs>
            <w:spacing w:before="0" w:after="0"/>
            <w:jc w:val="right"/>
            <w:rPr>
              <w:rFonts w:asciiTheme="minorHAnsi" w:hAnsiTheme="minorHAnsi"/>
              <w:b/>
              <w:color w:val="242C5C"/>
              <w:sz w:val="72"/>
              <w:szCs w:val="72"/>
            </w:rPr>
          </w:pPr>
          <w:r w:rsidRPr="009242DE">
            <w:rPr>
              <w:rFonts w:asciiTheme="minorHAnsi" w:hAnsiTheme="minorHAnsi"/>
              <w:b/>
              <w:color w:val="242C5C"/>
              <w:sz w:val="72"/>
              <w:szCs w:val="72"/>
            </w:rPr>
            <w:t>PRESS RELEASE</w:t>
          </w:r>
        </w:p>
        <w:p w14:paraId="1AA3F4E9" w14:textId="7CF24014" w:rsidR="00F021A3" w:rsidRPr="006F2646" w:rsidRDefault="00F021A3" w:rsidP="004B53B3">
          <w:pPr>
            <w:pStyle w:val="Header"/>
            <w:rPr>
              <w:rFonts w:ascii="Franklin Gothic Book" w:hAnsi="Franklin Gothic Book"/>
              <w:b/>
              <w:sz w:val="32"/>
              <w:szCs w:val="32"/>
            </w:rPr>
          </w:pP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F6"/>
    <w:rsid w:val="00000CAC"/>
    <w:rsid w:val="0000139D"/>
    <w:rsid w:val="000139DA"/>
    <w:rsid w:val="0002747A"/>
    <w:rsid w:val="00030A5A"/>
    <w:rsid w:val="000606E9"/>
    <w:rsid w:val="00062391"/>
    <w:rsid w:val="00070BD4"/>
    <w:rsid w:val="00070DCA"/>
    <w:rsid w:val="00075302"/>
    <w:rsid w:val="00076AE5"/>
    <w:rsid w:val="00080BB0"/>
    <w:rsid w:val="0008441D"/>
    <w:rsid w:val="00095077"/>
    <w:rsid w:val="000A0821"/>
    <w:rsid w:val="000A46F1"/>
    <w:rsid w:val="000B59D8"/>
    <w:rsid w:val="000C08B3"/>
    <w:rsid w:val="000C6A4E"/>
    <w:rsid w:val="000D6EFE"/>
    <w:rsid w:val="000D7825"/>
    <w:rsid w:val="000E064D"/>
    <w:rsid w:val="000F2394"/>
    <w:rsid w:val="000F4FB1"/>
    <w:rsid w:val="000F5854"/>
    <w:rsid w:val="000F680F"/>
    <w:rsid w:val="000F765E"/>
    <w:rsid w:val="0012085F"/>
    <w:rsid w:val="00122E89"/>
    <w:rsid w:val="00125C19"/>
    <w:rsid w:val="00127286"/>
    <w:rsid w:val="001374B2"/>
    <w:rsid w:val="00152CA6"/>
    <w:rsid w:val="00171A77"/>
    <w:rsid w:val="00180F21"/>
    <w:rsid w:val="00181470"/>
    <w:rsid w:val="00181ECA"/>
    <w:rsid w:val="00185AE9"/>
    <w:rsid w:val="00190656"/>
    <w:rsid w:val="001A2A57"/>
    <w:rsid w:val="001A7AA5"/>
    <w:rsid w:val="001D2194"/>
    <w:rsid w:val="001D305F"/>
    <w:rsid w:val="001E7386"/>
    <w:rsid w:val="001F4001"/>
    <w:rsid w:val="001F4B82"/>
    <w:rsid w:val="001F74CD"/>
    <w:rsid w:val="001F77D1"/>
    <w:rsid w:val="001F7AFC"/>
    <w:rsid w:val="00202E59"/>
    <w:rsid w:val="002137C3"/>
    <w:rsid w:val="0021754C"/>
    <w:rsid w:val="00231687"/>
    <w:rsid w:val="00237818"/>
    <w:rsid w:val="002406C5"/>
    <w:rsid w:val="0024122D"/>
    <w:rsid w:val="00246A2C"/>
    <w:rsid w:val="00247041"/>
    <w:rsid w:val="00250C0B"/>
    <w:rsid w:val="0025276E"/>
    <w:rsid w:val="00267F73"/>
    <w:rsid w:val="00276602"/>
    <w:rsid w:val="0027672C"/>
    <w:rsid w:val="00280D4A"/>
    <w:rsid w:val="002B2DCA"/>
    <w:rsid w:val="002B40BF"/>
    <w:rsid w:val="002B4BAF"/>
    <w:rsid w:val="002E71C7"/>
    <w:rsid w:val="002F317E"/>
    <w:rsid w:val="002F74AC"/>
    <w:rsid w:val="00320C87"/>
    <w:rsid w:val="003211C0"/>
    <w:rsid w:val="003239A7"/>
    <w:rsid w:val="00333433"/>
    <w:rsid w:val="003362F3"/>
    <w:rsid w:val="003474B2"/>
    <w:rsid w:val="00362234"/>
    <w:rsid w:val="0037205A"/>
    <w:rsid w:val="0037659B"/>
    <w:rsid w:val="00376688"/>
    <w:rsid w:val="00380443"/>
    <w:rsid w:val="00387E0E"/>
    <w:rsid w:val="0039163E"/>
    <w:rsid w:val="00392829"/>
    <w:rsid w:val="00393E84"/>
    <w:rsid w:val="003A0707"/>
    <w:rsid w:val="003A56D8"/>
    <w:rsid w:val="003B4C09"/>
    <w:rsid w:val="003C7DF9"/>
    <w:rsid w:val="003D0CCB"/>
    <w:rsid w:val="003D0E1B"/>
    <w:rsid w:val="003D29BE"/>
    <w:rsid w:val="003D7695"/>
    <w:rsid w:val="003E4FC1"/>
    <w:rsid w:val="003E695D"/>
    <w:rsid w:val="004019B5"/>
    <w:rsid w:val="00412923"/>
    <w:rsid w:val="0042107E"/>
    <w:rsid w:val="00422DF1"/>
    <w:rsid w:val="00435B54"/>
    <w:rsid w:val="004420F5"/>
    <w:rsid w:val="00453DA1"/>
    <w:rsid w:val="004628FC"/>
    <w:rsid w:val="0046572F"/>
    <w:rsid w:val="004659B6"/>
    <w:rsid w:val="00466F0D"/>
    <w:rsid w:val="0049364D"/>
    <w:rsid w:val="00494492"/>
    <w:rsid w:val="004A7F8C"/>
    <w:rsid w:val="004B263E"/>
    <w:rsid w:val="004B53B3"/>
    <w:rsid w:val="004C6195"/>
    <w:rsid w:val="004C6A8A"/>
    <w:rsid w:val="004E0051"/>
    <w:rsid w:val="00505E24"/>
    <w:rsid w:val="00512BC6"/>
    <w:rsid w:val="0052045E"/>
    <w:rsid w:val="0053619F"/>
    <w:rsid w:val="00543CE8"/>
    <w:rsid w:val="00555253"/>
    <w:rsid w:val="00556B34"/>
    <w:rsid w:val="0056353F"/>
    <w:rsid w:val="0058048D"/>
    <w:rsid w:val="00587D0B"/>
    <w:rsid w:val="0059359B"/>
    <w:rsid w:val="005A6D51"/>
    <w:rsid w:val="005B6418"/>
    <w:rsid w:val="005B67C9"/>
    <w:rsid w:val="005C31EC"/>
    <w:rsid w:val="005C359E"/>
    <w:rsid w:val="005D14F1"/>
    <w:rsid w:val="005D42AA"/>
    <w:rsid w:val="005D62CB"/>
    <w:rsid w:val="005E0A17"/>
    <w:rsid w:val="005E4833"/>
    <w:rsid w:val="005F7677"/>
    <w:rsid w:val="0062069B"/>
    <w:rsid w:val="00621C58"/>
    <w:rsid w:val="00621E74"/>
    <w:rsid w:val="00624746"/>
    <w:rsid w:val="00636E3F"/>
    <w:rsid w:val="00640759"/>
    <w:rsid w:val="00644A91"/>
    <w:rsid w:val="00647913"/>
    <w:rsid w:val="00653351"/>
    <w:rsid w:val="00655646"/>
    <w:rsid w:val="0066110D"/>
    <w:rsid w:val="006765D7"/>
    <w:rsid w:val="0068558C"/>
    <w:rsid w:val="006876E5"/>
    <w:rsid w:val="0069613C"/>
    <w:rsid w:val="006A7F43"/>
    <w:rsid w:val="006B62DA"/>
    <w:rsid w:val="006D2C7B"/>
    <w:rsid w:val="006D5056"/>
    <w:rsid w:val="006D7DBF"/>
    <w:rsid w:val="006E46CB"/>
    <w:rsid w:val="006F2646"/>
    <w:rsid w:val="007014A6"/>
    <w:rsid w:val="00703905"/>
    <w:rsid w:val="00724512"/>
    <w:rsid w:val="00737094"/>
    <w:rsid w:val="0074689A"/>
    <w:rsid w:val="00761107"/>
    <w:rsid w:val="007626C1"/>
    <w:rsid w:val="00765808"/>
    <w:rsid w:val="007667D7"/>
    <w:rsid w:val="00773E7D"/>
    <w:rsid w:val="00782A98"/>
    <w:rsid w:val="00785483"/>
    <w:rsid w:val="00793A05"/>
    <w:rsid w:val="00793FA9"/>
    <w:rsid w:val="00796E35"/>
    <w:rsid w:val="007B50DB"/>
    <w:rsid w:val="007B74AF"/>
    <w:rsid w:val="007C076C"/>
    <w:rsid w:val="007C1393"/>
    <w:rsid w:val="007C1A41"/>
    <w:rsid w:val="007C43B2"/>
    <w:rsid w:val="007C5540"/>
    <w:rsid w:val="007D1BB3"/>
    <w:rsid w:val="007D257B"/>
    <w:rsid w:val="007D25AC"/>
    <w:rsid w:val="007D31F6"/>
    <w:rsid w:val="007E3875"/>
    <w:rsid w:val="007E555C"/>
    <w:rsid w:val="007E6BBB"/>
    <w:rsid w:val="007F1976"/>
    <w:rsid w:val="007F2FCF"/>
    <w:rsid w:val="007F4007"/>
    <w:rsid w:val="007F6170"/>
    <w:rsid w:val="008076CD"/>
    <w:rsid w:val="008136C2"/>
    <w:rsid w:val="00822CD1"/>
    <w:rsid w:val="00824EEC"/>
    <w:rsid w:val="008250C2"/>
    <w:rsid w:val="0083313E"/>
    <w:rsid w:val="00833D7E"/>
    <w:rsid w:val="00846234"/>
    <w:rsid w:val="008539D9"/>
    <w:rsid w:val="0087219E"/>
    <w:rsid w:val="0088375F"/>
    <w:rsid w:val="00890C23"/>
    <w:rsid w:val="0089159B"/>
    <w:rsid w:val="0089300D"/>
    <w:rsid w:val="00895C3F"/>
    <w:rsid w:val="00896C25"/>
    <w:rsid w:val="008A1050"/>
    <w:rsid w:val="008A7788"/>
    <w:rsid w:val="008B71E8"/>
    <w:rsid w:val="008C0A5F"/>
    <w:rsid w:val="008C0F6E"/>
    <w:rsid w:val="008C1BA7"/>
    <w:rsid w:val="008D61AF"/>
    <w:rsid w:val="008D6E77"/>
    <w:rsid w:val="008E25AD"/>
    <w:rsid w:val="008F09B3"/>
    <w:rsid w:val="00903B7C"/>
    <w:rsid w:val="009126B7"/>
    <w:rsid w:val="009242DE"/>
    <w:rsid w:val="009352CB"/>
    <w:rsid w:val="00935D85"/>
    <w:rsid w:val="0095076F"/>
    <w:rsid w:val="00956B77"/>
    <w:rsid w:val="00957699"/>
    <w:rsid w:val="00960DDF"/>
    <w:rsid w:val="00966C3A"/>
    <w:rsid w:val="00973A9C"/>
    <w:rsid w:val="00977002"/>
    <w:rsid w:val="00980361"/>
    <w:rsid w:val="0098466C"/>
    <w:rsid w:val="00986071"/>
    <w:rsid w:val="009A0C6A"/>
    <w:rsid w:val="009A515F"/>
    <w:rsid w:val="009C267A"/>
    <w:rsid w:val="009F7155"/>
    <w:rsid w:val="00A111AA"/>
    <w:rsid w:val="00A2192E"/>
    <w:rsid w:val="00A21BD7"/>
    <w:rsid w:val="00A55273"/>
    <w:rsid w:val="00A5545C"/>
    <w:rsid w:val="00A57D12"/>
    <w:rsid w:val="00A67E5C"/>
    <w:rsid w:val="00A90548"/>
    <w:rsid w:val="00A9544F"/>
    <w:rsid w:val="00A96EB8"/>
    <w:rsid w:val="00AA28B2"/>
    <w:rsid w:val="00AA3686"/>
    <w:rsid w:val="00AA5EB1"/>
    <w:rsid w:val="00AA67D6"/>
    <w:rsid w:val="00AC4E77"/>
    <w:rsid w:val="00AC6108"/>
    <w:rsid w:val="00AD041B"/>
    <w:rsid w:val="00AD0B4B"/>
    <w:rsid w:val="00AE7B89"/>
    <w:rsid w:val="00AF0560"/>
    <w:rsid w:val="00AF7045"/>
    <w:rsid w:val="00B029D8"/>
    <w:rsid w:val="00B039B2"/>
    <w:rsid w:val="00B10CA9"/>
    <w:rsid w:val="00B27889"/>
    <w:rsid w:val="00B278EE"/>
    <w:rsid w:val="00B31476"/>
    <w:rsid w:val="00B73372"/>
    <w:rsid w:val="00B733E0"/>
    <w:rsid w:val="00B85FA1"/>
    <w:rsid w:val="00B97068"/>
    <w:rsid w:val="00BD2402"/>
    <w:rsid w:val="00BD5D91"/>
    <w:rsid w:val="00BE3060"/>
    <w:rsid w:val="00BF7536"/>
    <w:rsid w:val="00BF7636"/>
    <w:rsid w:val="00C10CDE"/>
    <w:rsid w:val="00C17651"/>
    <w:rsid w:val="00C4339C"/>
    <w:rsid w:val="00C56C11"/>
    <w:rsid w:val="00C64114"/>
    <w:rsid w:val="00C65309"/>
    <w:rsid w:val="00C67202"/>
    <w:rsid w:val="00C76059"/>
    <w:rsid w:val="00C801A8"/>
    <w:rsid w:val="00C80F8D"/>
    <w:rsid w:val="00C86522"/>
    <w:rsid w:val="00C97C35"/>
    <w:rsid w:val="00CD77F2"/>
    <w:rsid w:val="00CE1134"/>
    <w:rsid w:val="00CE709E"/>
    <w:rsid w:val="00CF2221"/>
    <w:rsid w:val="00CF3DBA"/>
    <w:rsid w:val="00CF41D3"/>
    <w:rsid w:val="00CF7614"/>
    <w:rsid w:val="00D00EB9"/>
    <w:rsid w:val="00D01E26"/>
    <w:rsid w:val="00D0246C"/>
    <w:rsid w:val="00D151CB"/>
    <w:rsid w:val="00D1635E"/>
    <w:rsid w:val="00D16F6B"/>
    <w:rsid w:val="00D2280E"/>
    <w:rsid w:val="00D360F9"/>
    <w:rsid w:val="00D403D3"/>
    <w:rsid w:val="00D504C4"/>
    <w:rsid w:val="00D5288B"/>
    <w:rsid w:val="00D71D4E"/>
    <w:rsid w:val="00D7642E"/>
    <w:rsid w:val="00D96127"/>
    <w:rsid w:val="00DA1A92"/>
    <w:rsid w:val="00DB32F2"/>
    <w:rsid w:val="00DD1D35"/>
    <w:rsid w:val="00DD46D2"/>
    <w:rsid w:val="00DE2026"/>
    <w:rsid w:val="00E312D6"/>
    <w:rsid w:val="00E32B15"/>
    <w:rsid w:val="00E336DF"/>
    <w:rsid w:val="00E34C55"/>
    <w:rsid w:val="00E40D6A"/>
    <w:rsid w:val="00E41C7F"/>
    <w:rsid w:val="00E42ADB"/>
    <w:rsid w:val="00E803E5"/>
    <w:rsid w:val="00E81C13"/>
    <w:rsid w:val="00E85042"/>
    <w:rsid w:val="00E93D77"/>
    <w:rsid w:val="00EA0670"/>
    <w:rsid w:val="00EA6B79"/>
    <w:rsid w:val="00EB09CC"/>
    <w:rsid w:val="00EB4776"/>
    <w:rsid w:val="00EC1A3D"/>
    <w:rsid w:val="00ED37D6"/>
    <w:rsid w:val="00EE4FC0"/>
    <w:rsid w:val="00EF4534"/>
    <w:rsid w:val="00EF6C82"/>
    <w:rsid w:val="00F021A3"/>
    <w:rsid w:val="00F23549"/>
    <w:rsid w:val="00F2464C"/>
    <w:rsid w:val="00F25319"/>
    <w:rsid w:val="00F31C2A"/>
    <w:rsid w:val="00F40105"/>
    <w:rsid w:val="00F54205"/>
    <w:rsid w:val="00F5503C"/>
    <w:rsid w:val="00F573E7"/>
    <w:rsid w:val="00F71A5A"/>
    <w:rsid w:val="00F86FBD"/>
    <w:rsid w:val="00F9429F"/>
    <w:rsid w:val="00FB3C04"/>
    <w:rsid w:val="00FB455E"/>
    <w:rsid w:val="00FB54C7"/>
    <w:rsid w:val="00FD015D"/>
    <w:rsid w:val="00FD073D"/>
    <w:rsid w:val="00FD441F"/>
    <w:rsid w:val="00FD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D0B4B"/>
    <w:rPr>
      <w:color w:val="605E5C"/>
      <w:shd w:val="clear" w:color="auto" w:fill="E1DFDD"/>
    </w:rPr>
  </w:style>
  <w:style w:type="paragraph" w:styleId="FootnoteText">
    <w:name w:val="footnote text"/>
    <w:basedOn w:val="Normal"/>
    <w:link w:val="FootnoteTextChar"/>
    <w:uiPriority w:val="99"/>
    <w:semiHidden/>
    <w:unhideWhenUsed/>
    <w:rsid w:val="001F4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B82"/>
    <w:rPr>
      <w:sz w:val="20"/>
      <w:szCs w:val="20"/>
    </w:rPr>
  </w:style>
  <w:style w:type="character" w:styleId="FootnoteReference">
    <w:name w:val="footnote reference"/>
    <w:basedOn w:val="DefaultParagraphFont"/>
    <w:uiPriority w:val="99"/>
    <w:semiHidden/>
    <w:unhideWhenUsed/>
    <w:rsid w:val="001F4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deborahmckendrick@itop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org" TargetMode="External"/><Relationship Id="rId4" Type="http://schemas.openxmlformats.org/officeDocument/2006/relationships/settings" Target="settings.xml"/><Relationship Id="rId9" Type="http://schemas.openxmlformats.org/officeDocument/2006/relationships/hyperlink" Target="http://www.itopf.org/knowledge-resources/data-statistics/statistic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FBDA-A9D0-4F02-872D-4AA92B68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24</cp:revision>
  <cp:lastPrinted>2020-01-10T09:12:00Z</cp:lastPrinted>
  <dcterms:created xsi:type="dcterms:W3CDTF">2021-01-08T08:35:00Z</dcterms:created>
  <dcterms:modified xsi:type="dcterms:W3CDTF">2021-01-12T13:52:00Z</dcterms:modified>
</cp:coreProperties>
</file>