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12B4" w14:textId="092FD40B" w:rsidR="00DA0926" w:rsidRDefault="00DA0926" w:rsidP="00BD57FE">
      <w:pPr>
        <w:spacing w:after="0" w:line="240" w:lineRule="auto"/>
        <w:rPr>
          <w:rFonts w:ascii="Aptos" w:hAnsi="Aptos"/>
          <w:b/>
          <w:bCs/>
          <w:u w:val="single"/>
        </w:rPr>
      </w:pPr>
      <w:r>
        <w:rPr>
          <w:rFonts w:ascii="Aptos" w:hAnsi="Aptos"/>
          <w:b/>
          <w:bCs/>
          <w:u w:val="single"/>
        </w:rPr>
        <w:t>Notes to Editors – ITOPF L</w:t>
      </w:r>
      <w:r w:rsidR="00744487">
        <w:rPr>
          <w:rFonts w:ascii="Aptos" w:hAnsi="Aptos"/>
          <w:b/>
          <w:bCs/>
          <w:u w:val="single"/>
        </w:rPr>
        <w:t>imited</w:t>
      </w:r>
    </w:p>
    <w:p w14:paraId="4DE67535" w14:textId="77777777" w:rsidR="00DA0926" w:rsidRDefault="00DA0926" w:rsidP="00BD57FE">
      <w:pPr>
        <w:spacing w:after="0" w:line="240" w:lineRule="auto"/>
        <w:rPr>
          <w:rFonts w:ascii="Aptos" w:hAnsi="Aptos"/>
          <w:b/>
          <w:bCs/>
          <w:u w:val="single"/>
        </w:rPr>
      </w:pPr>
    </w:p>
    <w:p w14:paraId="0178352A" w14:textId="5B5E5B6E" w:rsidR="001064C4" w:rsidRDefault="001064C4" w:rsidP="00BD57FE">
      <w:pPr>
        <w:spacing w:after="0" w:line="240" w:lineRule="auto"/>
        <w:rPr>
          <w:rFonts w:ascii="Aptos" w:hAnsi="Aptos"/>
          <w:b/>
          <w:bCs/>
          <w:u w:val="single"/>
        </w:rPr>
      </w:pPr>
      <w:r w:rsidRPr="00EC6E99">
        <w:rPr>
          <w:rFonts w:ascii="Aptos" w:hAnsi="Aptos"/>
          <w:b/>
          <w:bCs/>
          <w:u w:val="single"/>
        </w:rPr>
        <w:t>ABOUT ITOPF</w:t>
      </w:r>
    </w:p>
    <w:p w14:paraId="60817CBA" w14:textId="77777777" w:rsidR="00DA0926" w:rsidRPr="00EC6E99" w:rsidRDefault="00DA0926" w:rsidP="00BD57FE">
      <w:pPr>
        <w:spacing w:after="0" w:line="240" w:lineRule="auto"/>
        <w:rPr>
          <w:rFonts w:ascii="Aptos" w:hAnsi="Aptos"/>
          <w:b/>
          <w:bCs/>
          <w:u w:val="single"/>
        </w:rPr>
      </w:pPr>
    </w:p>
    <w:p w14:paraId="7836A510" w14:textId="57E2B9BF" w:rsidR="001064C4" w:rsidRPr="00E84890" w:rsidRDefault="001064C4" w:rsidP="00BD57FE">
      <w:pPr>
        <w:spacing w:after="0" w:line="240" w:lineRule="auto"/>
        <w:rPr>
          <w:rFonts w:ascii="Aptos" w:hAnsi="Aptos"/>
        </w:rPr>
      </w:pPr>
      <w:r w:rsidRPr="00996563">
        <w:rPr>
          <w:rFonts w:ascii="Aptos" w:hAnsi="Aptos"/>
        </w:rPr>
        <w:t xml:space="preserve">ITOPF </w:t>
      </w:r>
      <w:r w:rsidR="00F9151E">
        <w:rPr>
          <w:rFonts w:ascii="Aptos" w:hAnsi="Aptos"/>
        </w:rPr>
        <w:t xml:space="preserve">exists to </w:t>
      </w:r>
      <w:r w:rsidR="00272C88">
        <w:rPr>
          <w:rFonts w:ascii="Aptos" w:hAnsi="Aptos"/>
        </w:rPr>
        <w:t>provid</w:t>
      </w:r>
      <w:r w:rsidR="00F9151E">
        <w:rPr>
          <w:rFonts w:ascii="Aptos" w:hAnsi="Aptos"/>
        </w:rPr>
        <w:t>e</w:t>
      </w:r>
      <w:r w:rsidR="00272C88">
        <w:rPr>
          <w:rFonts w:ascii="Aptos" w:hAnsi="Aptos"/>
        </w:rPr>
        <w:t xml:space="preserve"> </w:t>
      </w:r>
      <w:r>
        <w:rPr>
          <w:rFonts w:ascii="Aptos" w:hAnsi="Aptos"/>
        </w:rPr>
        <w:t xml:space="preserve">objective </w:t>
      </w:r>
      <w:r w:rsidR="00F9151E">
        <w:rPr>
          <w:rFonts w:ascii="Aptos" w:hAnsi="Aptos"/>
        </w:rPr>
        <w:t xml:space="preserve">and scientific based </w:t>
      </w:r>
      <w:r w:rsidRPr="00996563">
        <w:rPr>
          <w:rFonts w:ascii="Aptos" w:hAnsi="Aptos"/>
        </w:rPr>
        <w:t xml:space="preserve">technical advice worldwide </w:t>
      </w:r>
      <w:r w:rsidR="00F9151E">
        <w:rPr>
          <w:rFonts w:ascii="Aptos" w:hAnsi="Aptos"/>
        </w:rPr>
        <w:t>to those involved in</w:t>
      </w:r>
      <w:r w:rsidRPr="00996563">
        <w:rPr>
          <w:rFonts w:ascii="Aptos" w:hAnsi="Aptos"/>
        </w:rPr>
        <w:t xml:space="preserve"> prepar</w:t>
      </w:r>
      <w:r w:rsidR="001D2D47">
        <w:rPr>
          <w:rFonts w:ascii="Aptos" w:hAnsi="Aptos"/>
        </w:rPr>
        <w:t>ing</w:t>
      </w:r>
      <w:r w:rsidRPr="00996563">
        <w:rPr>
          <w:rFonts w:ascii="Aptos" w:hAnsi="Aptos"/>
        </w:rPr>
        <w:t xml:space="preserve"> and respon</w:t>
      </w:r>
      <w:r w:rsidR="001D2D47">
        <w:rPr>
          <w:rFonts w:ascii="Aptos" w:hAnsi="Aptos"/>
        </w:rPr>
        <w:t>ding</w:t>
      </w:r>
      <w:r w:rsidRPr="00996563">
        <w:rPr>
          <w:rFonts w:ascii="Aptos" w:hAnsi="Aptos"/>
        </w:rPr>
        <w:t xml:space="preserve"> to accidental marine spills</w:t>
      </w:r>
      <w:r w:rsidR="00BA3FD4">
        <w:rPr>
          <w:rFonts w:ascii="Aptos" w:hAnsi="Aptos"/>
        </w:rPr>
        <w:t xml:space="preserve"> of oil, chemicals hazardous substances and cargo</w:t>
      </w:r>
      <w:r w:rsidR="001D2D47">
        <w:rPr>
          <w:rFonts w:ascii="Aptos" w:hAnsi="Aptos"/>
        </w:rPr>
        <w:t>. It provides an emergency service</w:t>
      </w:r>
      <w:r w:rsidR="00F9151E">
        <w:rPr>
          <w:rFonts w:ascii="Aptos" w:hAnsi="Aptos"/>
        </w:rPr>
        <w:t xml:space="preserve"> and operates on a not-for-profit basis</w:t>
      </w:r>
      <w:r w:rsidRPr="00996563">
        <w:rPr>
          <w:rFonts w:ascii="Aptos" w:hAnsi="Aptos"/>
        </w:rPr>
        <w:t>.</w:t>
      </w:r>
      <w:r>
        <w:rPr>
          <w:rFonts w:ascii="Aptos" w:hAnsi="Aptos"/>
        </w:rPr>
        <w:t xml:space="preserve"> </w:t>
      </w:r>
      <w:r w:rsidR="007A2E39">
        <w:rPr>
          <w:rFonts w:ascii="Aptos" w:hAnsi="Aptos"/>
        </w:rPr>
        <w:t xml:space="preserve"> </w:t>
      </w:r>
      <w:r w:rsidRPr="00E84890">
        <w:rPr>
          <w:rFonts w:ascii="Aptos" w:hAnsi="Aptos"/>
        </w:rPr>
        <w:t xml:space="preserve">ITOPF has responded </w:t>
      </w:r>
      <w:r w:rsidR="00854D85">
        <w:rPr>
          <w:rFonts w:ascii="Aptos" w:hAnsi="Aptos"/>
        </w:rPr>
        <w:t>on</w:t>
      </w:r>
      <w:r w:rsidR="006D0C55">
        <w:rPr>
          <w:rFonts w:ascii="Aptos" w:hAnsi="Aptos"/>
        </w:rPr>
        <w:t>-</w:t>
      </w:r>
      <w:r w:rsidR="00854D85">
        <w:rPr>
          <w:rFonts w:ascii="Aptos" w:hAnsi="Aptos"/>
        </w:rPr>
        <w:t xml:space="preserve">site from its locations in London and Singapore </w:t>
      </w:r>
      <w:r w:rsidRPr="00E84890">
        <w:rPr>
          <w:rFonts w:ascii="Aptos" w:hAnsi="Aptos"/>
        </w:rPr>
        <w:t>to more than 8</w:t>
      </w:r>
      <w:r>
        <w:rPr>
          <w:rFonts w:ascii="Aptos" w:hAnsi="Aptos"/>
        </w:rPr>
        <w:t>6</w:t>
      </w:r>
      <w:r w:rsidRPr="00E84890">
        <w:rPr>
          <w:rFonts w:ascii="Aptos" w:hAnsi="Aptos"/>
        </w:rPr>
        <w:t xml:space="preserve">0 </w:t>
      </w:r>
      <w:r w:rsidR="00BA3FD4">
        <w:rPr>
          <w:rFonts w:ascii="Aptos" w:hAnsi="Aptos"/>
        </w:rPr>
        <w:t xml:space="preserve">ship-source </w:t>
      </w:r>
      <w:r w:rsidRPr="00E84890">
        <w:rPr>
          <w:rFonts w:ascii="Aptos" w:hAnsi="Aptos"/>
        </w:rPr>
        <w:t>spills</w:t>
      </w:r>
      <w:r w:rsidR="00272C88">
        <w:rPr>
          <w:rFonts w:ascii="Aptos" w:hAnsi="Aptos"/>
        </w:rPr>
        <w:t xml:space="preserve"> in 100 countries</w:t>
      </w:r>
      <w:r w:rsidR="001A4F17">
        <w:rPr>
          <w:rFonts w:ascii="Aptos" w:hAnsi="Aptos"/>
        </w:rPr>
        <w:t xml:space="preserve"> and has provided </w:t>
      </w:r>
      <w:r w:rsidR="005F7E4C">
        <w:rPr>
          <w:rFonts w:ascii="Aptos" w:hAnsi="Aptos"/>
        </w:rPr>
        <w:t xml:space="preserve">remote advice on </w:t>
      </w:r>
      <w:r w:rsidR="004222AA">
        <w:rPr>
          <w:rFonts w:ascii="Aptos" w:hAnsi="Aptos"/>
        </w:rPr>
        <w:t xml:space="preserve">around a </w:t>
      </w:r>
      <w:r w:rsidR="001D2D47">
        <w:rPr>
          <w:rFonts w:ascii="Aptos" w:hAnsi="Aptos"/>
        </w:rPr>
        <w:t>thousand</w:t>
      </w:r>
      <w:r w:rsidR="004222AA">
        <w:rPr>
          <w:rFonts w:ascii="Aptos" w:hAnsi="Aptos"/>
        </w:rPr>
        <w:t xml:space="preserve"> </w:t>
      </w:r>
      <w:r w:rsidR="001D2D47">
        <w:rPr>
          <w:rFonts w:ascii="Aptos" w:hAnsi="Aptos"/>
        </w:rPr>
        <w:t>more</w:t>
      </w:r>
      <w:r w:rsidR="005F7E4C">
        <w:rPr>
          <w:rFonts w:ascii="Aptos" w:hAnsi="Aptos"/>
        </w:rPr>
        <w:t xml:space="preserve"> incidents.  ITOPF provides </w:t>
      </w:r>
      <w:r w:rsidR="00272C88">
        <w:rPr>
          <w:rFonts w:ascii="Aptos" w:hAnsi="Aptos"/>
        </w:rPr>
        <w:t>advice on clean-up measures, the effects of pollutants on the environment and economic activities, and on compensation</w:t>
      </w:r>
      <w:r w:rsidRPr="00E84890">
        <w:rPr>
          <w:rFonts w:ascii="Aptos" w:hAnsi="Aptos"/>
        </w:rPr>
        <w:t xml:space="preserve">. </w:t>
      </w:r>
      <w:r>
        <w:rPr>
          <w:rFonts w:ascii="Aptos" w:hAnsi="Aptos"/>
        </w:rPr>
        <w:t>Its</w:t>
      </w:r>
      <w:r w:rsidRPr="00E84890">
        <w:rPr>
          <w:rFonts w:ascii="Aptos" w:hAnsi="Aptos"/>
        </w:rPr>
        <w:t xml:space="preserve"> highly skilled international team is ready to assist 24 hours a day, 365 days a year</w:t>
      </w:r>
      <w:r w:rsidR="00854D85">
        <w:rPr>
          <w:rFonts w:ascii="Aptos" w:hAnsi="Aptos"/>
        </w:rPr>
        <w:t>.</w:t>
      </w:r>
    </w:p>
    <w:p w14:paraId="1F76ED2C" w14:textId="77777777" w:rsidR="00EC6E99" w:rsidRDefault="00EC6E99" w:rsidP="00BD57FE">
      <w:pPr>
        <w:spacing w:after="0" w:line="240" w:lineRule="auto"/>
        <w:rPr>
          <w:rFonts w:ascii="Aptos" w:hAnsi="Aptos"/>
        </w:rPr>
      </w:pPr>
    </w:p>
    <w:p w14:paraId="4A52D8E2" w14:textId="0EDEEA59" w:rsidR="00A819A7" w:rsidRDefault="001064C4" w:rsidP="00BD57FE">
      <w:pPr>
        <w:spacing w:after="0" w:line="240" w:lineRule="auto"/>
        <w:rPr>
          <w:rFonts w:ascii="Aptos" w:hAnsi="Aptos"/>
        </w:rPr>
      </w:pPr>
      <w:r w:rsidRPr="00DC51F4">
        <w:rPr>
          <w:rFonts w:ascii="Aptos" w:hAnsi="Aptos"/>
        </w:rPr>
        <w:t>ITOPF promotes a collaborative approach to spill response.</w:t>
      </w:r>
      <w:r>
        <w:rPr>
          <w:rFonts w:ascii="Aptos" w:hAnsi="Aptos"/>
        </w:rPr>
        <w:t xml:space="preserve">  It</w:t>
      </w:r>
      <w:r w:rsidRPr="00E84890">
        <w:rPr>
          <w:rFonts w:ascii="Aptos" w:hAnsi="Aptos"/>
        </w:rPr>
        <w:t xml:space="preserve">s services are provided </w:t>
      </w:r>
      <w:r>
        <w:rPr>
          <w:rFonts w:ascii="Aptos" w:hAnsi="Aptos"/>
        </w:rPr>
        <w:t xml:space="preserve">to interested stakeholders, including </w:t>
      </w:r>
      <w:r w:rsidR="00854D85">
        <w:rPr>
          <w:rFonts w:ascii="Aptos" w:hAnsi="Aptos"/>
        </w:rPr>
        <w:t xml:space="preserve">intergovernmental organisations, </w:t>
      </w:r>
      <w:r>
        <w:rPr>
          <w:rFonts w:ascii="Aptos" w:hAnsi="Aptos"/>
        </w:rPr>
        <w:t>governments, coastguards, and port authorities</w:t>
      </w:r>
      <w:r w:rsidR="00B644EF">
        <w:rPr>
          <w:rFonts w:ascii="Aptos" w:hAnsi="Aptos"/>
        </w:rPr>
        <w:t>. ITOPF’s</w:t>
      </w:r>
      <w:r>
        <w:rPr>
          <w:rFonts w:ascii="Aptos" w:hAnsi="Aptos"/>
        </w:rPr>
        <w:t xml:space="preserve"> attendance on site and claims assessment work is usually initiated by a request from its</w:t>
      </w:r>
      <w:r w:rsidRPr="00E84890">
        <w:rPr>
          <w:rFonts w:ascii="Aptos" w:hAnsi="Aptos"/>
        </w:rPr>
        <w:t xml:space="preserve"> </w:t>
      </w:r>
      <w:r w:rsidR="00E11CA2">
        <w:rPr>
          <w:rFonts w:ascii="Aptos" w:hAnsi="Aptos"/>
        </w:rPr>
        <w:t>M</w:t>
      </w:r>
      <w:r w:rsidRPr="00E84890">
        <w:rPr>
          <w:rFonts w:ascii="Aptos" w:hAnsi="Aptos"/>
        </w:rPr>
        <w:t xml:space="preserve">embers (tanker owners) or </w:t>
      </w:r>
      <w:r w:rsidR="00E11CA2">
        <w:rPr>
          <w:rFonts w:ascii="Aptos" w:hAnsi="Aptos"/>
        </w:rPr>
        <w:t>A</w:t>
      </w:r>
      <w:r w:rsidRPr="00E84890">
        <w:rPr>
          <w:rFonts w:ascii="Aptos" w:hAnsi="Aptos"/>
        </w:rPr>
        <w:t xml:space="preserve">ssociates (other shipowners) </w:t>
      </w:r>
      <w:r>
        <w:rPr>
          <w:rFonts w:ascii="Aptos" w:hAnsi="Aptos"/>
        </w:rPr>
        <w:t xml:space="preserve">or </w:t>
      </w:r>
      <w:r w:rsidRPr="00E84890">
        <w:rPr>
          <w:rFonts w:ascii="Aptos" w:hAnsi="Aptos"/>
        </w:rPr>
        <w:t>their Protection and Indemnity (P&amp;I) insurers</w:t>
      </w:r>
      <w:r>
        <w:rPr>
          <w:rFonts w:ascii="Aptos" w:hAnsi="Aptos"/>
        </w:rPr>
        <w:t>.</w:t>
      </w:r>
      <w:r w:rsidR="00854D85">
        <w:rPr>
          <w:rFonts w:ascii="Aptos" w:hAnsi="Aptos"/>
        </w:rPr>
        <w:t xml:space="preserve"> </w:t>
      </w:r>
    </w:p>
    <w:p w14:paraId="075F2060" w14:textId="77777777" w:rsidR="00A819A7" w:rsidRDefault="00A819A7" w:rsidP="00BD57FE">
      <w:pPr>
        <w:spacing w:after="0" w:line="240" w:lineRule="auto"/>
        <w:rPr>
          <w:rFonts w:ascii="Aptos" w:hAnsi="Aptos"/>
        </w:rPr>
      </w:pPr>
    </w:p>
    <w:p w14:paraId="6409D369" w14:textId="2FFCB246" w:rsidR="00F76CD7" w:rsidRDefault="00B644EF" w:rsidP="00BD57FE">
      <w:pPr>
        <w:spacing w:after="0" w:line="240" w:lineRule="auto"/>
        <w:rPr>
          <w:rFonts w:ascii="Aptos" w:hAnsi="Aptos"/>
        </w:rPr>
      </w:pPr>
      <w:r>
        <w:rPr>
          <w:rFonts w:ascii="Aptos" w:hAnsi="Aptos"/>
        </w:rPr>
        <w:t xml:space="preserve">At times when there is no insurer present for an incident, </w:t>
      </w:r>
      <w:r w:rsidR="00A819A7">
        <w:rPr>
          <w:rFonts w:ascii="Aptos" w:hAnsi="Aptos"/>
        </w:rPr>
        <w:t xml:space="preserve">and where relevant, </w:t>
      </w:r>
      <w:r>
        <w:rPr>
          <w:rFonts w:ascii="Aptos" w:hAnsi="Aptos"/>
        </w:rPr>
        <w:t xml:space="preserve">ITOPF will </w:t>
      </w:r>
      <w:r w:rsidR="00A819A7">
        <w:rPr>
          <w:rFonts w:ascii="Aptos" w:hAnsi="Aptos"/>
        </w:rPr>
        <w:t xml:space="preserve">provide advice to </w:t>
      </w:r>
      <w:r>
        <w:rPr>
          <w:rFonts w:ascii="Aptos" w:hAnsi="Aptos"/>
        </w:rPr>
        <w:t>the International Oil Pollution Compensation Fund</w:t>
      </w:r>
      <w:r w:rsidR="002B6DB0">
        <w:rPr>
          <w:rFonts w:ascii="Aptos" w:hAnsi="Aptos"/>
        </w:rPr>
        <w:t>s</w:t>
      </w:r>
      <w:r>
        <w:rPr>
          <w:rFonts w:ascii="Aptos" w:hAnsi="Aptos"/>
        </w:rPr>
        <w:t xml:space="preserve"> (IOPC Fund</w:t>
      </w:r>
      <w:r w:rsidR="00397965">
        <w:rPr>
          <w:rFonts w:ascii="Aptos" w:hAnsi="Aptos"/>
        </w:rPr>
        <w:t>s</w:t>
      </w:r>
      <w:r>
        <w:rPr>
          <w:rFonts w:ascii="Aptos" w:hAnsi="Aptos"/>
        </w:rPr>
        <w:t>)</w:t>
      </w:r>
      <w:r w:rsidR="00A819A7">
        <w:rPr>
          <w:rFonts w:ascii="Aptos" w:hAnsi="Aptos"/>
        </w:rPr>
        <w:t xml:space="preserve"> and the International Maritime </w:t>
      </w:r>
      <w:r w:rsidR="002B6DB0">
        <w:rPr>
          <w:rFonts w:ascii="Aptos" w:hAnsi="Aptos"/>
        </w:rPr>
        <w:t xml:space="preserve">Organization </w:t>
      </w:r>
      <w:r w:rsidR="00A819A7">
        <w:rPr>
          <w:rFonts w:ascii="Aptos" w:hAnsi="Aptos"/>
        </w:rPr>
        <w:t>(IMO)</w:t>
      </w:r>
      <w:r w:rsidR="004222AA">
        <w:rPr>
          <w:rFonts w:ascii="Aptos" w:hAnsi="Aptos"/>
        </w:rPr>
        <w:t>.</w:t>
      </w:r>
      <w:r w:rsidR="00021145">
        <w:rPr>
          <w:rFonts w:ascii="Aptos" w:hAnsi="Aptos"/>
        </w:rPr>
        <w:t xml:space="preserve"> </w:t>
      </w:r>
    </w:p>
    <w:p w14:paraId="6A417565" w14:textId="77777777" w:rsidR="00A819A7" w:rsidRDefault="00A819A7" w:rsidP="00BD57FE">
      <w:pPr>
        <w:spacing w:after="0" w:line="240" w:lineRule="auto"/>
        <w:rPr>
          <w:rFonts w:ascii="Aptos" w:hAnsi="Aptos"/>
        </w:rPr>
      </w:pPr>
    </w:p>
    <w:p w14:paraId="1950F976" w14:textId="3D5E4B21" w:rsidR="00A819A7" w:rsidRDefault="00A819A7" w:rsidP="00BD57FE">
      <w:pPr>
        <w:spacing w:after="0" w:line="240" w:lineRule="auto"/>
        <w:rPr>
          <w:rFonts w:ascii="Aptos" w:hAnsi="Aptos"/>
        </w:rPr>
      </w:pPr>
      <w:r>
        <w:rPr>
          <w:rFonts w:ascii="Aptos" w:hAnsi="Aptos"/>
        </w:rPr>
        <w:t xml:space="preserve">ITOPF </w:t>
      </w:r>
      <w:r w:rsidR="004222AA">
        <w:rPr>
          <w:rFonts w:ascii="Aptos" w:hAnsi="Aptos"/>
        </w:rPr>
        <w:t xml:space="preserve">has observer status at the </w:t>
      </w:r>
      <w:r>
        <w:rPr>
          <w:rFonts w:ascii="Aptos" w:hAnsi="Aptos"/>
        </w:rPr>
        <w:t>IOPC Funds</w:t>
      </w:r>
      <w:r w:rsidR="004222AA">
        <w:rPr>
          <w:rFonts w:ascii="Aptos" w:hAnsi="Aptos"/>
        </w:rPr>
        <w:t xml:space="preserve"> and </w:t>
      </w:r>
      <w:r>
        <w:rPr>
          <w:rFonts w:ascii="Aptos" w:hAnsi="Aptos"/>
        </w:rPr>
        <w:t>provide</w:t>
      </w:r>
      <w:r w:rsidR="004222AA">
        <w:rPr>
          <w:rFonts w:ascii="Aptos" w:hAnsi="Aptos"/>
        </w:rPr>
        <w:t>s</w:t>
      </w:r>
      <w:r>
        <w:rPr>
          <w:rFonts w:ascii="Aptos" w:hAnsi="Aptos"/>
        </w:rPr>
        <w:t xml:space="preserve"> advice to the</w:t>
      </w:r>
      <w:r w:rsidR="004222AA">
        <w:rPr>
          <w:rFonts w:ascii="Aptos" w:hAnsi="Aptos"/>
        </w:rPr>
        <w:t>se</w:t>
      </w:r>
      <w:r w:rsidRPr="00E659F4">
        <w:rPr>
          <w:rFonts w:ascii="Aptos" w:hAnsi="Aptos"/>
        </w:rPr>
        <w:t xml:space="preserve"> two intergovernmental organisations (the 1992 Fund and the Supplementary Fund) which provide compensation</w:t>
      </w:r>
      <w:r w:rsidR="00962A8E">
        <w:rPr>
          <w:rFonts w:ascii="Aptos" w:hAnsi="Aptos"/>
        </w:rPr>
        <w:t xml:space="preserve"> </w:t>
      </w:r>
      <w:r w:rsidRPr="00E659F4">
        <w:rPr>
          <w:rFonts w:ascii="Aptos" w:hAnsi="Aptos"/>
        </w:rPr>
        <w:t>for oil pollution damage resulting from spills of persistent oil from tankers.</w:t>
      </w:r>
      <w:r w:rsidRPr="00A819A7">
        <w:rPr>
          <w:rFonts w:ascii="Aptos" w:hAnsi="Aptos"/>
        </w:rPr>
        <w:t xml:space="preserve"> </w:t>
      </w:r>
      <w:r w:rsidR="00397965">
        <w:rPr>
          <w:rFonts w:ascii="Aptos" w:hAnsi="Aptos"/>
        </w:rPr>
        <w:t xml:space="preserve"> </w:t>
      </w:r>
      <w:r>
        <w:rPr>
          <w:rFonts w:ascii="Aptos" w:hAnsi="Aptos"/>
        </w:rPr>
        <w:t>There is no equivalent to the IOPC Fund</w:t>
      </w:r>
      <w:r w:rsidR="00397965">
        <w:rPr>
          <w:rFonts w:ascii="Aptos" w:hAnsi="Aptos"/>
        </w:rPr>
        <w:t>s</w:t>
      </w:r>
      <w:r>
        <w:rPr>
          <w:rFonts w:ascii="Aptos" w:hAnsi="Aptos"/>
        </w:rPr>
        <w:t xml:space="preserve"> for </w:t>
      </w:r>
      <w:r w:rsidR="00397965">
        <w:rPr>
          <w:rFonts w:ascii="Aptos" w:hAnsi="Aptos"/>
        </w:rPr>
        <w:t xml:space="preserve">ship-source </w:t>
      </w:r>
      <w:r>
        <w:rPr>
          <w:rFonts w:ascii="Aptos" w:hAnsi="Aptos"/>
        </w:rPr>
        <w:t>spills</w:t>
      </w:r>
      <w:r w:rsidR="00397965">
        <w:rPr>
          <w:rFonts w:ascii="Aptos" w:hAnsi="Aptos"/>
        </w:rPr>
        <w:t xml:space="preserve"> of other substances.</w:t>
      </w:r>
    </w:p>
    <w:p w14:paraId="6FD69FB3" w14:textId="77777777" w:rsidR="00F76CD7" w:rsidRDefault="00F76CD7" w:rsidP="00BD57FE">
      <w:pPr>
        <w:spacing w:after="0" w:line="240" w:lineRule="auto"/>
        <w:rPr>
          <w:rFonts w:ascii="Aptos" w:hAnsi="Aptos"/>
        </w:rPr>
      </w:pPr>
    </w:p>
    <w:p w14:paraId="393C0889" w14:textId="7350F24C" w:rsidR="00EC6E99" w:rsidRDefault="00B644EF" w:rsidP="00BD57FE">
      <w:pPr>
        <w:spacing w:after="0" w:line="240" w:lineRule="auto"/>
        <w:rPr>
          <w:rFonts w:ascii="Aptos" w:hAnsi="Aptos"/>
        </w:rPr>
      </w:pPr>
      <w:r>
        <w:rPr>
          <w:rFonts w:ascii="Aptos" w:hAnsi="Aptos"/>
        </w:rPr>
        <w:t>ITOPF has</w:t>
      </w:r>
      <w:r w:rsidR="00854D85">
        <w:rPr>
          <w:rFonts w:ascii="Aptos" w:hAnsi="Aptos"/>
        </w:rPr>
        <w:t xml:space="preserve"> a longstanding Memorandum of Understanding with </w:t>
      </w:r>
      <w:r w:rsidR="00397965">
        <w:rPr>
          <w:rFonts w:ascii="Aptos" w:hAnsi="Aptos"/>
        </w:rPr>
        <w:t>IMO</w:t>
      </w:r>
      <w:r w:rsidR="00854D85">
        <w:rPr>
          <w:rFonts w:ascii="Aptos" w:hAnsi="Aptos"/>
        </w:rPr>
        <w:t>,</w:t>
      </w:r>
      <w:r w:rsidR="00A819A7">
        <w:rPr>
          <w:rFonts w:ascii="Aptos" w:hAnsi="Aptos"/>
        </w:rPr>
        <w:t xml:space="preserve"> to provide advice to</w:t>
      </w:r>
      <w:r w:rsidR="00854D85">
        <w:rPr>
          <w:rFonts w:ascii="Aptos" w:hAnsi="Aptos"/>
        </w:rPr>
        <w:t xml:space="preserve"> t</w:t>
      </w:r>
      <w:r w:rsidR="00854D85" w:rsidRPr="00854D85">
        <w:rPr>
          <w:rFonts w:ascii="Aptos" w:hAnsi="Aptos"/>
        </w:rPr>
        <w:t>he United Nations specialised agency with responsibility for the safety and security of shipping and the prevention of marine and atmospheric pollution by ships</w:t>
      </w:r>
      <w:r w:rsidR="00BA3FD4">
        <w:rPr>
          <w:rFonts w:ascii="Aptos" w:hAnsi="Aptos"/>
        </w:rPr>
        <w:t xml:space="preserve">.  IMO has </w:t>
      </w:r>
      <w:r w:rsidR="00854D85" w:rsidRPr="00854D85">
        <w:rPr>
          <w:rFonts w:ascii="Aptos" w:hAnsi="Aptos"/>
        </w:rPr>
        <w:t xml:space="preserve">176 member states and </w:t>
      </w:r>
      <w:r w:rsidR="00363879">
        <w:rPr>
          <w:rFonts w:ascii="Aptos" w:hAnsi="Aptos"/>
        </w:rPr>
        <w:t xml:space="preserve">is </w:t>
      </w:r>
      <w:r w:rsidR="00854D85" w:rsidRPr="00854D85">
        <w:rPr>
          <w:rFonts w:ascii="Aptos" w:hAnsi="Aptos"/>
        </w:rPr>
        <w:t>responsible for more than 50 international conventions and protocols.</w:t>
      </w:r>
      <w:r w:rsidR="00A819A7">
        <w:rPr>
          <w:rFonts w:ascii="Aptos" w:hAnsi="Aptos"/>
        </w:rPr>
        <w:t xml:space="preserve">  </w:t>
      </w:r>
      <w:r w:rsidR="00021145">
        <w:rPr>
          <w:rFonts w:ascii="Aptos" w:hAnsi="Aptos"/>
        </w:rPr>
        <w:t>ITOPF also holds observer status at IMO.</w:t>
      </w:r>
    </w:p>
    <w:p w14:paraId="065CECEE" w14:textId="77777777" w:rsidR="00021145" w:rsidRDefault="00021145" w:rsidP="00BD57FE">
      <w:pPr>
        <w:spacing w:after="0" w:line="240" w:lineRule="auto"/>
        <w:rPr>
          <w:rFonts w:ascii="Aptos" w:hAnsi="Aptos"/>
        </w:rPr>
      </w:pPr>
    </w:p>
    <w:p w14:paraId="1192F467" w14:textId="381E8808" w:rsidR="001064C4" w:rsidRDefault="00854D85" w:rsidP="00BD57FE">
      <w:pPr>
        <w:spacing w:after="0" w:line="240" w:lineRule="auto"/>
        <w:rPr>
          <w:rFonts w:ascii="Aptos" w:hAnsi="Aptos"/>
        </w:rPr>
      </w:pPr>
      <w:r>
        <w:rPr>
          <w:rFonts w:ascii="Aptos" w:hAnsi="Aptos"/>
        </w:rPr>
        <w:t>The organisation was rebranded “</w:t>
      </w:r>
      <w:r w:rsidR="001064C4" w:rsidRPr="00F95D0B">
        <w:rPr>
          <w:rFonts w:ascii="Aptos" w:hAnsi="Aptos"/>
        </w:rPr>
        <w:t>ITOPF</w:t>
      </w:r>
      <w:r>
        <w:rPr>
          <w:rFonts w:ascii="Aptos" w:hAnsi="Aptos"/>
        </w:rPr>
        <w:t>”</w:t>
      </w:r>
      <w:r w:rsidR="001064C4">
        <w:rPr>
          <w:rFonts w:ascii="Aptos" w:hAnsi="Aptos"/>
        </w:rPr>
        <w:t xml:space="preserve"> to reflect the broad range of services it provides and</w:t>
      </w:r>
      <w:r w:rsidR="00EC6E99">
        <w:rPr>
          <w:rFonts w:ascii="Aptos" w:hAnsi="Aptos"/>
        </w:rPr>
        <w:t xml:space="preserve"> the </w:t>
      </w:r>
      <w:r w:rsidR="001064C4">
        <w:rPr>
          <w:rFonts w:ascii="Aptos" w:hAnsi="Aptos"/>
        </w:rPr>
        <w:t>stakeholders it works with</w:t>
      </w:r>
      <w:r w:rsidR="001064C4" w:rsidRPr="00F95D0B">
        <w:rPr>
          <w:rFonts w:ascii="Aptos" w:hAnsi="Aptos"/>
        </w:rPr>
        <w:t>.</w:t>
      </w:r>
      <w:r>
        <w:rPr>
          <w:rFonts w:ascii="Aptos" w:hAnsi="Aptos"/>
        </w:rPr>
        <w:t xml:space="preserve">  The name </w:t>
      </w:r>
      <w:r w:rsidR="00F76CD7">
        <w:rPr>
          <w:rFonts w:ascii="Aptos" w:hAnsi="Aptos"/>
        </w:rPr>
        <w:t xml:space="preserve">is not an </w:t>
      </w:r>
      <w:proofErr w:type="gramStart"/>
      <w:r w:rsidR="00F76CD7">
        <w:rPr>
          <w:rFonts w:ascii="Aptos" w:hAnsi="Aptos"/>
        </w:rPr>
        <w:t>acronym</w:t>
      </w:r>
      <w:proofErr w:type="gramEnd"/>
      <w:r w:rsidR="00F76CD7">
        <w:rPr>
          <w:rFonts w:ascii="Aptos" w:hAnsi="Aptos"/>
        </w:rPr>
        <w:t xml:space="preserve"> and the previous name </w:t>
      </w:r>
      <w:r>
        <w:rPr>
          <w:rFonts w:ascii="Aptos" w:hAnsi="Aptos"/>
        </w:rPr>
        <w:t>is</w:t>
      </w:r>
      <w:r w:rsidR="002B6DB0">
        <w:rPr>
          <w:rFonts w:ascii="Aptos" w:hAnsi="Aptos"/>
        </w:rPr>
        <w:t xml:space="preserve"> no</w:t>
      </w:r>
      <w:r>
        <w:rPr>
          <w:rFonts w:ascii="Aptos" w:hAnsi="Aptos"/>
        </w:rPr>
        <w:t xml:space="preserve"> longer in use.</w:t>
      </w:r>
      <w:r w:rsidR="001064C4" w:rsidRPr="00F95D0B">
        <w:rPr>
          <w:rFonts w:ascii="Aptos" w:hAnsi="Aptos"/>
        </w:rPr>
        <w:t xml:space="preserve"> </w:t>
      </w:r>
      <w:r>
        <w:rPr>
          <w:rFonts w:ascii="Aptos" w:hAnsi="Aptos"/>
        </w:rPr>
        <w:t xml:space="preserve"> </w:t>
      </w:r>
    </w:p>
    <w:p w14:paraId="0099CACE" w14:textId="77777777" w:rsidR="00EC6E99" w:rsidRDefault="00EC6E99" w:rsidP="00BD57FE">
      <w:pPr>
        <w:spacing w:after="0" w:line="240" w:lineRule="auto"/>
        <w:rPr>
          <w:rFonts w:ascii="Aptos" w:hAnsi="Aptos"/>
          <w:b/>
          <w:bCs/>
        </w:rPr>
      </w:pPr>
    </w:p>
    <w:p w14:paraId="77CFDE0A" w14:textId="77777777" w:rsidR="00BD57FE" w:rsidRDefault="00BD57FE" w:rsidP="00BD57FE">
      <w:pPr>
        <w:spacing w:after="0" w:line="240" w:lineRule="auto"/>
        <w:rPr>
          <w:rFonts w:ascii="Aptos" w:hAnsi="Aptos"/>
          <w:b/>
          <w:bCs/>
          <w:u w:val="single"/>
        </w:rPr>
      </w:pPr>
    </w:p>
    <w:p w14:paraId="417D5374" w14:textId="77777777" w:rsidR="00BD57FE" w:rsidRDefault="00BD57FE" w:rsidP="00BD57FE">
      <w:pPr>
        <w:spacing w:after="0" w:line="240" w:lineRule="auto"/>
        <w:rPr>
          <w:rFonts w:ascii="Aptos" w:hAnsi="Aptos"/>
          <w:b/>
          <w:bCs/>
          <w:u w:val="single"/>
        </w:rPr>
      </w:pPr>
    </w:p>
    <w:p w14:paraId="5268F42A" w14:textId="77777777" w:rsidR="00BD57FE" w:rsidRDefault="00BD57FE" w:rsidP="00BD57FE">
      <w:pPr>
        <w:spacing w:after="0" w:line="240" w:lineRule="auto"/>
        <w:rPr>
          <w:rFonts w:ascii="Aptos" w:hAnsi="Aptos"/>
          <w:b/>
          <w:bCs/>
          <w:u w:val="single"/>
        </w:rPr>
      </w:pPr>
    </w:p>
    <w:p w14:paraId="7BD82DAB" w14:textId="77777777" w:rsidR="00BD57FE" w:rsidRDefault="00BD57FE" w:rsidP="00BD57FE">
      <w:pPr>
        <w:spacing w:after="0" w:line="240" w:lineRule="auto"/>
        <w:rPr>
          <w:rFonts w:ascii="Aptos" w:hAnsi="Aptos"/>
          <w:b/>
          <w:bCs/>
          <w:u w:val="single"/>
        </w:rPr>
      </w:pPr>
    </w:p>
    <w:p w14:paraId="6D17ABA7" w14:textId="77777777" w:rsidR="00AD6958" w:rsidRDefault="00AD6958" w:rsidP="00BD57FE">
      <w:pPr>
        <w:spacing w:after="0" w:line="240" w:lineRule="auto"/>
        <w:rPr>
          <w:rFonts w:ascii="Aptos" w:hAnsi="Aptos"/>
          <w:b/>
          <w:bCs/>
          <w:u w:val="single"/>
        </w:rPr>
      </w:pPr>
    </w:p>
    <w:p w14:paraId="323D86EA" w14:textId="77777777" w:rsidR="00AD6958" w:rsidRDefault="00AD6958" w:rsidP="00BD57FE">
      <w:pPr>
        <w:spacing w:after="0" w:line="240" w:lineRule="auto"/>
        <w:rPr>
          <w:rFonts w:ascii="Aptos" w:hAnsi="Aptos"/>
          <w:b/>
          <w:bCs/>
          <w:u w:val="single"/>
        </w:rPr>
      </w:pPr>
    </w:p>
    <w:p w14:paraId="1D18B35E" w14:textId="0EE8915E" w:rsidR="00155A2C" w:rsidRDefault="00155A2C" w:rsidP="00BD57FE">
      <w:pPr>
        <w:spacing w:after="0" w:line="240" w:lineRule="auto"/>
        <w:rPr>
          <w:rFonts w:ascii="Aptos" w:hAnsi="Aptos"/>
          <w:b/>
          <w:bCs/>
          <w:u w:val="single"/>
        </w:rPr>
      </w:pPr>
      <w:r w:rsidRPr="00EC6E99">
        <w:rPr>
          <w:rFonts w:ascii="Aptos" w:hAnsi="Aptos"/>
          <w:b/>
          <w:bCs/>
          <w:u w:val="single"/>
        </w:rPr>
        <w:t>TECHNICAL SERVICES</w:t>
      </w:r>
    </w:p>
    <w:p w14:paraId="6682DF97" w14:textId="77777777" w:rsidR="00DA0926" w:rsidRPr="00EC6E99" w:rsidRDefault="00DA0926" w:rsidP="00BD57FE">
      <w:pPr>
        <w:spacing w:after="0" w:line="240" w:lineRule="auto"/>
        <w:rPr>
          <w:rFonts w:ascii="Aptos" w:hAnsi="Aptos"/>
          <w:b/>
          <w:bCs/>
          <w:i/>
          <w:iCs/>
          <w:u w:val="single"/>
        </w:rPr>
      </w:pPr>
    </w:p>
    <w:p w14:paraId="4A0605EC" w14:textId="61B4CD7C" w:rsidR="001064C4" w:rsidRDefault="001064C4" w:rsidP="00BD57FE">
      <w:pPr>
        <w:spacing w:after="0" w:line="240" w:lineRule="auto"/>
        <w:rPr>
          <w:rFonts w:ascii="Aptos" w:hAnsi="Aptos"/>
        </w:rPr>
      </w:pPr>
      <w:r>
        <w:rPr>
          <w:rFonts w:ascii="Aptos" w:hAnsi="Aptos"/>
        </w:rPr>
        <w:t>ITOPF offers five key services:</w:t>
      </w:r>
    </w:p>
    <w:p w14:paraId="12816733" w14:textId="77777777" w:rsidR="00EC6E99" w:rsidRDefault="00EC6E99" w:rsidP="00BD57FE">
      <w:pPr>
        <w:pStyle w:val="ListParagraph"/>
        <w:spacing w:after="0" w:line="240" w:lineRule="auto"/>
        <w:ind w:left="360"/>
        <w:rPr>
          <w:rFonts w:ascii="Aptos" w:hAnsi="Aptos"/>
          <w:b/>
          <w:bCs/>
        </w:rPr>
      </w:pPr>
    </w:p>
    <w:p w14:paraId="579853D2" w14:textId="77777777" w:rsidR="00397965" w:rsidRDefault="001064C4" w:rsidP="00BD57FE">
      <w:pPr>
        <w:pStyle w:val="ListParagraph"/>
        <w:numPr>
          <w:ilvl w:val="0"/>
          <w:numId w:val="6"/>
        </w:numPr>
        <w:spacing w:after="0" w:line="240" w:lineRule="auto"/>
        <w:rPr>
          <w:rFonts w:ascii="Aptos" w:hAnsi="Aptos"/>
          <w:b/>
          <w:bCs/>
        </w:rPr>
      </w:pPr>
      <w:r w:rsidRPr="00193F9C">
        <w:rPr>
          <w:rFonts w:ascii="Aptos" w:hAnsi="Aptos"/>
          <w:b/>
          <w:bCs/>
        </w:rPr>
        <w:t>Spill response</w:t>
      </w:r>
    </w:p>
    <w:p w14:paraId="236BBFEB" w14:textId="242FC4A9" w:rsidR="001064C4" w:rsidRPr="00193F9C" w:rsidRDefault="001064C4" w:rsidP="00BD57FE">
      <w:pPr>
        <w:pStyle w:val="ListParagraph"/>
        <w:spacing w:after="0" w:line="240" w:lineRule="auto"/>
        <w:ind w:left="360"/>
        <w:rPr>
          <w:rFonts w:ascii="Aptos" w:hAnsi="Aptos"/>
          <w:b/>
          <w:bCs/>
        </w:rPr>
      </w:pPr>
      <w:r w:rsidRPr="00193F9C">
        <w:rPr>
          <w:rFonts w:ascii="Aptos" w:hAnsi="Aptos"/>
          <w:b/>
          <w:bCs/>
        </w:rPr>
        <w:t xml:space="preserve"> </w:t>
      </w:r>
    </w:p>
    <w:p w14:paraId="7C1B272F" w14:textId="5AFE15F2" w:rsidR="00EC6E99" w:rsidRDefault="00B644EF" w:rsidP="00BD57FE">
      <w:pPr>
        <w:spacing w:after="0" w:line="240" w:lineRule="auto"/>
        <w:rPr>
          <w:rFonts w:ascii="Aptos" w:hAnsi="Aptos"/>
        </w:rPr>
      </w:pPr>
      <w:r>
        <w:rPr>
          <w:rFonts w:ascii="Aptos" w:hAnsi="Aptos"/>
        </w:rPr>
        <w:t>ITOPF’s priority service is to provide objective scientific advice on clean-up measures and the effects of pollutants on the environment in response to</w:t>
      </w:r>
      <w:r w:rsidR="00E11CA2">
        <w:rPr>
          <w:rFonts w:ascii="Aptos" w:hAnsi="Aptos"/>
        </w:rPr>
        <w:t xml:space="preserve"> </w:t>
      </w:r>
      <w:r w:rsidR="00536B4D" w:rsidRPr="00193F9C">
        <w:rPr>
          <w:rFonts w:ascii="Aptos" w:hAnsi="Aptos"/>
        </w:rPr>
        <w:t>ship-source spills of oil, chemicals, hazardous substances and cargo</w:t>
      </w:r>
      <w:r>
        <w:rPr>
          <w:rFonts w:ascii="Aptos" w:hAnsi="Aptos"/>
        </w:rPr>
        <w:t>.</w:t>
      </w:r>
      <w:r w:rsidR="00536B4D" w:rsidRPr="00193F9C">
        <w:rPr>
          <w:rFonts w:ascii="Aptos" w:hAnsi="Aptos"/>
        </w:rPr>
        <w:t xml:space="preserve"> This is provided worldwide, 24 hours a day, 365 days of the year.</w:t>
      </w:r>
    </w:p>
    <w:p w14:paraId="233A6678" w14:textId="77777777" w:rsidR="00FC4196" w:rsidRDefault="00FC4196" w:rsidP="00BD57FE">
      <w:pPr>
        <w:spacing w:after="0" w:line="240" w:lineRule="auto"/>
        <w:rPr>
          <w:rFonts w:ascii="Aptos" w:hAnsi="Aptos"/>
        </w:rPr>
      </w:pPr>
    </w:p>
    <w:p w14:paraId="219A9311" w14:textId="77777777" w:rsidR="001064C4" w:rsidRDefault="001064C4" w:rsidP="00BD57FE">
      <w:pPr>
        <w:pStyle w:val="ListParagraph"/>
        <w:numPr>
          <w:ilvl w:val="0"/>
          <w:numId w:val="6"/>
        </w:numPr>
        <w:spacing w:after="0" w:line="240" w:lineRule="auto"/>
        <w:rPr>
          <w:rFonts w:ascii="Aptos" w:hAnsi="Aptos"/>
          <w:b/>
          <w:bCs/>
        </w:rPr>
      </w:pPr>
      <w:r w:rsidRPr="00193F9C">
        <w:rPr>
          <w:rFonts w:ascii="Aptos" w:hAnsi="Aptos"/>
          <w:b/>
          <w:bCs/>
        </w:rPr>
        <w:t xml:space="preserve">Claims analysis and damage assessment </w:t>
      </w:r>
    </w:p>
    <w:p w14:paraId="38CA268E" w14:textId="77777777" w:rsidR="00397965" w:rsidRPr="00193F9C" w:rsidRDefault="00397965" w:rsidP="00BD57FE">
      <w:pPr>
        <w:pStyle w:val="ListParagraph"/>
        <w:spacing w:after="0" w:line="240" w:lineRule="auto"/>
        <w:ind w:left="360"/>
        <w:rPr>
          <w:rFonts w:ascii="Aptos" w:hAnsi="Aptos"/>
          <w:b/>
          <w:bCs/>
        </w:rPr>
      </w:pPr>
    </w:p>
    <w:p w14:paraId="5133CD8D" w14:textId="3A450F8E" w:rsidR="00536B4D" w:rsidRDefault="00536B4D" w:rsidP="00BD57FE">
      <w:pPr>
        <w:spacing w:after="0" w:line="240" w:lineRule="auto"/>
        <w:rPr>
          <w:rFonts w:ascii="Aptos" w:hAnsi="Aptos"/>
        </w:rPr>
      </w:pPr>
      <w:r>
        <w:rPr>
          <w:rFonts w:ascii="Aptos" w:hAnsi="Aptos"/>
        </w:rPr>
        <w:t>ITOPF provides</w:t>
      </w:r>
      <w:r w:rsidR="00854D85" w:rsidDel="00854D85">
        <w:rPr>
          <w:rFonts w:ascii="Aptos" w:hAnsi="Aptos"/>
        </w:rPr>
        <w:t xml:space="preserve"> </w:t>
      </w:r>
      <w:r w:rsidR="00B644EF">
        <w:rPr>
          <w:rFonts w:ascii="Aptos" w:hAnsi="Aptos"/>
        </w:rPr>
        <w:t>consistent</w:t>
      </w:r>
      <w:r>
        <w:rPr>
          <w:rFonts w:ascii="Aptos" w:hAnsi="Aptos"/>
        </w:rPr>
        <w:t xml:space="preserve"> and objective technical assessments for claims associated with spill response and pollution damage across all four claim types covered by the international </w:t>
      </w:r>
      <w:r w:rsidR="00D97073">
        <w:rPr>
          <w:rFonts w:ascii="Aptos" w:hAnsi="Aptos"/>
        </w:rPr>
        <w:t xml:space="preserve">conventions governing </w:t>
      </w:r>
      <w:r>
        <w:rPr>
          <w:rFonts w:ascii="Aptos" w:hAnsi="Aptos"/>
        </w:rPr>
        <w:t>compensation – preventative measures, economic loss, property damage and environmental damage.</w:t>
      </w:r>
    </w:p>
    <w:p w14:paraId="021B082A" w14:textId="77777777" w:rsidR="00EC6E99" w:rsidRPr="00193F9C" w:rsidRDefault="00EC6E99" w:rsidP="00BD57FE">
      <w:pPr>
        <w:spacing w:after="0" w:line="240" w:lineRule="auto"/>
        <w:rPr>
          <w:rFonts w:ascii="Aptos" w:hAnsi="Aptos"/>
        </w:rPr>
      </w:pPr>
    </w:p>
    <w:p w14:paraId="155B6A99" w14:textId="54335AEB" w:rsidR="001064C4" w:rsidRPr="00193F9C" w:rsidRDefault="001064C4" w:rsidP="00BD57FE">
      <w:pPr>
        <w:pStyle w:val="ListParagraph"/>
        <w:numPr>
          <w:ilvl w:val="0"/>
          <w:numId w:val="6"/>
        </w:numPr>
        <w:spacing w:after="0" w:line="240" w:lineRule="auto"/>
        <w:rPr>
          <w:rFonts w:ascii="Aptos" w:hAnsi="Aptos"/>
          <w:b/>
          <w:bCs/>
        </w:rPr>
      </w:pPr>
      <w:r w:rsidRPr="00193F9C">
        <w:rPr>
          <w:rFonts w:ascii="Aptos" w:hAnsi="Aptos"/>
          <w:b/>
          <w:bCs/>
        </w:rPr>
        <w:t xml:space="preserve">Contingency planning and advisory work </w:t>
      </w:r>
    </w:p>
    <w:p w14:paraId="3A6609D6" w14:textId="77777777" w:rsidR="00536B4D" w:rsidRDefault="00536B4D" w:rsidP="00BD57FE">
      <w:pPr>
        <w:spacing w:after="0" w:line="240" w:lineRule="auto"/>
        <w:rPr>
          <w:rFonts w:ascii="Aptos" w:hAnsi="Aptos"/>
        </w:rPr>
      </w:pPr>
    </w:p>
    <w:p w14:paraId="142EB4AD" w14:textId="368F576F" w:rsidR="001064C4" w:rsidRDefault="00536B4D" w:rsidP="00BD57FE">
      <w:pPr>
        <w:spacing w:after="0" w:line="240" w:lineRule="auto"/>
        <w:rPr>
          <w:rFonts w:ascii="Aptos" w:hAnsi="Aptos"/>
        </w:rPr>
      </w:pPr>
      <w:r>
        <w:rPr>
          <w:rFonts w:ascii="Aptos" w:hAnsi="Aptos"/>
        </w:rPr>
        <w:t xml:space="preserve">ITOPF undertakes contingency planning and advisory activities to </w:t>
      </w:r>
      <w:r w:rsidR="009F2262">
        <w:rPr>
          <w:rFonts w:ascii="Aptos" w:hAnsi="Aptos"/>
        </w:rPr>
        <w:t xml:space="preserve">positively support and </w:t>
      </w:r>
      <w:r w:rsidR="00B644EF">
        <w:rPr>
          <w:rFonts w:ascii="Aptos" w:hAnsi="Aptos"/>
        </w:rPr>
        <w:t>assist countries</w:t>
      </w:r>
      <w:r>
        <w:rPr>
          <w:rFonts w:ascii="Aptos" w:hAnsi="Aptos"/>
        </w:rPr>
        <w:t xml:space="preserve"> and organisations.  These activities also help </w:t>
      </w:r>
      <w:r w:rsidR="009F2262">
        <w:rPr>
          <w:rFonts w:ascii="Aptos" w:hAnsi="Aptos"/>
        </w:rPr>
        <w:t xml:space="preserve">build relations </w:t>
      </w:r>
      <w:r w:rsidR="00F76CD7">
        <w:rPr>
          <w:rFonts w:ascii="Aptos" w:hAnsi="Aptos"/>
        </w:rPr>
        <w:t xml:space="preserve">and trust with </w:t>
      </w:r>
      <w:r>
        <w:rPr>
          <w:rFonts w:ascii="Aptos" w:hAnsi="Aptos"/>
        </w:rPr>
        <w:t xml:space="preserve">stakeholders </w:t>
      </w:r>
      <w:r w:rsidR="009F2262">
        <w:rPr>
          <w:rFonts w:ascii="Aptos" w:hAnsi="Aptos"/>
        </w:rPr>
        <w:t xml:space="preserve">to the benefit of all </w:t>
      </w:r>
      <w:r>
        <w:rPr>
          <w:rFonts w:ascii="Aptos" w:hAnsi="Aptos"/>
        </w:rPr>
        <w:t xml:space="preserve">when an incident occurs. </w:t>
      </w:r>
    </w:p>
    <w:p w14:paraId="5543BEB9" w14:textId="77777777" w:rsidR="00EC6E99" w:rsidRDefault="00EC6E99" w:rsidP="00BD57FE">
      <w:pPr>
        <w:spacing w:after="0" w:line="240" w:lineRule="auto"/>
        <w:rPr>
          <w:rFonts w:ascii="Aptos" w:hAnsi="Aptos"/>
        </w:rPr>
      </w:pPr>
    </w:p>
    <w:p w14:paraId="77BDC32A" w14:textId="1098F5D4" w:rsidR="00536B4D" w:rsidRDefault="00536B4D" w:rsidP="00BD57FE">
      <w:pPr>
        <w:pStyle w:val="ListParagraph"/>
        <w:numPr>
          <w:ilvl w:val="0"/>
          <w:numId w:val="6"/>
        </w:numPr>
        <w:spacing w:after="0" w:line="240" w:lineRule="auto"/>
        <w:rPr>
          <w:rFonts w:ascii="Aptos" w:hAnsi="Aptos"/>
          <w:b/>
          <w:bCs/>
        </w:rPr>
      </w:pPr>
      <w:r w:rsidRPr="00193F9C">
        <w:rPr>
          <w:rFonts w:ascii="Aptos" w:hAnsi="Aptos"/>
          <w:b/>
          <w:bCs/>
        </w:rPr>
        <w:t>Training and education</w:t>
      </w:r>
    </w:p>
    <w:p w14:paraId="73985812" w14:textId="77777777" w:rsidR="00397965" w:rsidRPr="00193F9C" w:rsidRDefault="00397965" w:rsidP="00BD57FE">
      <w:pPr>
        <w:pStyle w:val="ListParagraph"/>
        <w:spacing w:after="0" w:line="240" w:lineRule="auto"/>
        <w:ind w:left="360"/>
        <w:rPr>
          <w:rFonts w:ascii="Aptos" w:hAnsi="Aptos"/>
          <w:b/>
          <w:bCs/>
        </w:rPr>
      </w:pPr>
    </w:p>
    <w:p w14:paraId="0572824B" w14:textId="341A01A9" w:rsidR="00536B4D" w:rsidRDefault="00536B4D" w:rsidP="00BD57FE">
      <w:pPr>
        <w:spacing w:after="0" w:line="240" w:lineRule="auto"/>
        <w:rPr>
          <w:rFonts w:ascii="Aptos" w:hAnsi="Aptos"/>
        </w:rPr>
      </w:pPr>
      <w:r>
        <w:rPr>
          <w:rFonts w:ascii="Aptos" w:hAnsi="Aptos"/>
        </w:rPr>
        <w:t>ITOPF</w:t>
      </w:r>
      <w:r w:rsidR="00150632">
        <w:rPr>
          <w:rFonts w:ascii="Aptos" w:hAnsi="Aptos"/>
        </w:rPr>
        <w:t xml:space="preserve"> delivers </w:t>
      </w:r>
      <w:r>
        <w:rPr>
          <w:rFonts w:ascii="Aptos" w:hAnsi="Aptos"/>
        </w:rPr>
        <w:t xml:space="preserve">training </w:t>
      </w:r>
      <w:r w:rsidR="00150632">
        <w:rPr>
          <w:rFonts w:ascii="Aptos" w:hAnsi="Aptos"/>
        </w:rPr>
        <w:t xml:space="preserve">courses and workshops </w:t>
      </w:r>
      <w:r>
        <w:rPr>
          <w:rFonts w:ascii="Aptos" w:hAnsi="Aptos"/>
        </w:rPr>
        <w:t>with</w:t>
      </w:r>
      <w:r w:rsidR="00503D92">
        <w:rPr>
          <w:rFonts w:ascii="Aptos" w:hAnsi="Aptos"/>
        </w:rPr>
        <w:t xml:space="preserve"> and for</w:t>
      </w:r>
      <w:r>
        <w:rPr>
          <w:rFonts w:ascii="Aptos" w:hAnsi="Aptos"/>
        </w:rPr>
        <w:t xml:space="preserve"> a broad range of stakeholders, including national maritime authorities, </w:t>
      </w:r>
      <w:r w:rsidR="009F2262">
        <w:rPr>
          <w:rFonts w:ascii="Aptos" w:hAnsi="Aptos"/>
        </w:rPr>
        <w:t xml:space="preserve">coastguards, </w:t>
      </w:r>
      <w:r>
        <w:rPr>
          <w:rFonts w:ascii="Aptos" w:hAnsi="Aptos"/>
        </w:rPr>
        <w:t>local government authorities, spill response contractors</w:t>
      </w:r>
      <w:r w:rsidR="00C6576E">
        <w:rPr>
          <w:rFonts w:ascii="Aptos" w:hAnsi="Aptos"/>
        </w:rPr>
        <w:t xml:space="preserve"> and</w:t>
      </w:r>
      <w:r>
        <w:rPr>
          <w:rFonts w:ascii="Aptos" w:hAnsi="Aptos"/>
        </w:rPr>
        <w:t xml:space="preserve"> university students</w:t>
      </w:r>
      <w:r w:rsidR="00150632">
        <w:rPr>
          <w:rFonts w:ascii="Aptos" w:hAnsi="Aptos"/>
        </w:rPr>
        <w:t xml:space="preserve">.  </w:t>
      </w:r>
      <w:r w:rsidR="00193F9C">
        <w:rPr>
          <w:rFonts w:ascii="Aptos" w:hAnsi="Aptos"/>
        </w:rPr>
        <w:t xml:space="preserve">ITOPF’s </w:t>
      </w:r>
      <w:r w:rsidR="00150632">
        <w:rPr>
          <w:rFonts w:ascii="Aptos" w:hAnsi="Aptos"/>
        </w:rPr>
        <w:t>technical team regularly speak at industry conferences around the world.</w:t>
      </w:r>
    </w:p>
    <w:p w14:paraId="3705A82B" w14:textId="77777777" w:rsidR="00EC6E99" w:rsidRPr="00193F9C" w:rsidRDefault="00EC6E99" w:rsidP="00BD57FE">
      <w:pPr>
        <w:spacing w:after="0" w:line="240" w:lineRule="auto"/>
        <w:rPr>
          <w:rFonts w:ascii="Aptos" w:hAnsi="Aptos"/>
        </w:rPr>
      </w:pPr>
    </w:p>
    <w:p w14:paraId="794F1BCE" w14:textId="37DEC1CE" w:rsidR="001064C4" w:rsidRDefault="001064C4" w:rsidP="00BD57FE">
      <w:pPr>
        <w:pStyle w:val="ListParagraph"/>
        <w:numPr>
          <w:ilvl w:val="0"/>
          <w:numId w:val="6"/>
        </w:numPr>
        <w:spacing w:after="0" w:line="240" w:lineRule="auto"/>
        <w:rPr>
          <w:rFonts w:ascii="Aptos" w:hAnsi="Aptos"/>
          <w:b/>
          <w:bCs/>
        </w:rPr>
      </w:pPr>
      <w:r w:rsidRPr="00193F9C">
        <w:rPr>
          <w:rFonts w:ascii="Aptos" w:hAnsi="Aptos"/>
          <w:b/>
          <w:bCs/>
        </w:rPr>
        <w:t>Information</w:t>
      </w:r>
      <w:r w:rsidR="00BE4FEA" w:rsidRPr="00193F9C">
        <w:rPr>
          <w:rFonts w:ascii="Aptos" w:hAnsi="Aptos"/>
          <w:b/>
          <w:bCs/>
        </w:rPr>
        <w:t xml:space="preserve"> services</w:t>
      </w:r>
    </w:p>
    <w:p w14:paraId="25B345CF" w14:textId="77777777" w:rsidR="00397965" w:rsidRPr="00193F9C" w:rsidRDefault="00397965" w:rsidP="00BD57FE">
      <w:pPr>
        <w:pStyle w:val="ListParagraph"/>
        <w:spacing w:after="0" w:line="240" w:lineRule="auto"/>
        <w:ind w:left="360"/>
        <w:rPr>
          <w:rFonts w:ascii="Aptos" w:hAnsi="Aptos"/>
          <w:b/>
          <w:bCs/>
        </w:rPr>
      </w:pPr>
    </w:p>
    <w:p w14:paraId="601AB758" w14:textId="12ABCA67" w:rsidR="001064C4" w:rsidRDefault="00150632" w:rsidP="00BD57FE">
      <w:pPr>
        <w:spacing w:after="0" w:line="240" w:lineRule="auto"/>
        <w:rPr>
          <w:rFonts w:ascii="Aptos" w:hAnsi="Aptos"/>
        </w:rPr>
      </w:pPr>
      <w:r>
        <w:rPr>
          <w:rFonts w:ascii="Aptos" w:hAnsi="Aptos"/>
        </w:rPr>
        <w:t>ITOPF is a</w:t>
      </w:r>
      <w:r w:rsidR="00503D92">
        <w:rPr>
          <w:rFonts w:ascii="Aptos" w:hAnsi="Aptos"/>
        </w:rPr>
        <w:t>n authoritative source and</w:t>
      </w:r>
      <w:r>
        <w:rPr>
          <w:rFonts w:ascii="Aptos" w:hAnsi="Aptos"/>
        </w:rPr>
        <w:t xml:space="preserve"> leader in the dissemination of knowledge and best practice across the industry</w:t>
      </w:r>
      <w:r w:rsidR="00503D92">
        <w:rPr>
          <w:rFonts w:ascii="Aptos" w:hAnsi="Aptos"/>
        </w:rPr>
        <w:t xml:space="preserve"> through </w:t>
      </w:r>
      <w:r w:rsidR="006C7B75">
        <w:rPr>
          <w:rFonts w:ascii="Aptos" w:hAnsi="Aptos"/>
        </w:rPr>
        <w:t>its</w:t>
      </w:r>
      <w:r w:rsidR="00503D92">
        <w:rPr>
          <w:rFonts w:ascii="Aptos" w:hAnsi="Aptos"/>
        </w:rPr>
        <w:t xml:space="preserve"> films and publications</w:t>
      </w:r>
      <w:r>
        <w:rPr>
          <w:rFonts w:ascii="Aptos" w:hAnsi="Aptos"/>
        </w:rPr>
        <w:t xml:space="preserve">. Key publications include the widely </w:t>
      </w:r>
      <w:r w:rsidR="009F2262">
        <w:rPr>
          <w:rFonts w:ascii="Aptos" w:hAnsi="Aptos"/>
        </w:rPr>
        <w:t xml:space="preserve">recognised and </w:t>
      </w:r>
      <w:r>
        <w:rPr>
          <w:rFonts w:ascii="Aptos" w:hAnsi="Aptos"/>
        </w:rPr>
        <w:t>cited Oil Tanker Spill Statistics (an annual publication providing data on accidental oil spills from tankers, combined carriers and barges since 1970) and Technical Information Papers, the most recent of which is entitled Response to Plastic Pellet Incidents.</w:t>
      </w:r>
      <w:r w:rsidR="007D0E91">
        <w:rPr>
          <w:rFonts w:ascii="Aptos" w:hAnsi="Aptos"/>
        </w:rPr>
        <w:t xml:space="preserve"> The ITOPF Handbook also contains a wealth of valuable information and guidance for those likely to be involved in spills of oil, chemicals</w:t>
      </w:r>
      <w:r w:rsidR="00BA3FD4">
        <w:rPr>
          <w:rFonts w:ascii="Aptos" w:hAnsi="Aptos"/>
        </w:rPr>
        <w:t>, hazardous substances</w:t>
      </w:r>
      <w:r w:rsidR="007D0E91">
        <w:rPr>
          <w:rFonts w:ascii="Aptos" w:hAnsi="Aptos"/>
        </w:rPr>
        <w:t xml:space="preserve"> or other cargoes from ships.  </w:t>
      </w:r>
    </w:p>
    <w:p w14:paraId="0687E9DF" w14:textId="77777777" w:rsidR="00EC6E99" w:rsidRDefault="00EC6E99" w:rsidP="00BD57FE">
      <w:pPr>
        <w:spacing w:after="0" w:line="240" w:lineRule="auto"/>
        <w:rPr>
          <w:rFonts w:ascii="Aptos" w:hAnsi="Aptos"/>
          <w:b/>
          <w:bCs/>
        </w:rPr>
      </w:pPr>
    </w:p>
    <w:p w14:paraId="2983C1C0" w14:textId="77777777" w:rsidR="00DA0926" w:rsidRDefault="00DA0926" w:rsidP="00BD57FE">
      <w:pPr>
        <w:spacing w:after="0" w:line="240" w:lineRule="auto"/>
        <w:rPr>
          <w:rFonts w:ascii="Aptos" w:hAnsi="Aptos"/>
          <w:b/>
          <w:bCs/>
        </w:rPr>
      </w:pPr>
    </w:p>
    <w:p w14:paraId="3E85D521" w14:textId="77777777" w:rsidR="00BD57FE" w:rsidRDefault="00BD57FE" w:rsidP="00BD57FE">
      <w:pPr>
        <w:spacing w:after="0" w:line="240" w:lineRule="auto"/>
        <w:rPr>
          <w:rFonts w:ascii="Aptos" w:hAnsi="Aptos"/>
          <w:b/>
          <w:bCs/>
          <w:u w:val="single"/>
        </w:rPr>
      </w:pPr>
    </w:p>
    <w:p w14:paraId="338635B8" w14:textId="2BE0AA70" w:rsidR="00600FAC" w:rsidRPr="00A819A7" w:rsidRDefault="00DF012F" w:rsidP="00BD57FE">
      <w:pPr>
        <w:spacing w:after="0" w:line="240" w:lineRule="auto"/>
        <w:rPr>
          <w:rFonts w:ascii="Aptos" w:hAnsi="Aptos"/>
          <w:b/>
          <w:bCs/>
          <w:u w:val="single"/>
        </w:rPr>
      </w:pPr>
      <w:r>
        <w:rPr>
          <w:rFonts w:ascii="Aptos" w:hAnsi="Aptos"/>
          <w:b/>
          <w:bCs/>
          <w:u w:val="single"/>
        </w:rPr>
        <w:lastRenderedPageBreak/>
        <w:t xml:space="preserve">APPROACH TO </w:t>
      </w:r>
      <w:r w:rsidR="00397965">
        <w:rPr>
          <w:rFonts w:ascii="Aptos" w:hAnsi="Aptos"/>
          <w:b/>
          <w:bCs/>
          <w:u w:val="single"/>
        </w:rPr>
        <w:t>SPILL RESPONSE</w:t>
      </w:r>
    </w:p>
    <w:p w14:paraId="3B2E3D6F" w14:textId="77777777" w:rsidR="00DA0926" w:rsidRDefault="00DA0926" w:rsidP="00BD57FE">
      <w:pPr>
        <w:spacing w:after="0" w:line="240" w:lineRule="auto"/>
        <w:rPr>
          <w:rFonts w:ascii="Aptos" w:hAnsi="Aptos"/>
        </w:rPr>
      </w:pPr>
    </w:p>
    <w:p w14:paraId="0B005F8A" w14:textId="5D2B8440" w:rsidR="00600FAC" w:rsidRDefault="00600FAC" w:rsidP="00BD57FE">
      <w:pPr>
        <w:spacing w:after="0" w:line="240" w:lineRule="auto"/>
        <w:rPr>
          <w:rFonts w:ascii="Aptos" w:hAnsi="Aptos"/>
          <w:b/>
          <w:bCs/>
        </w:rPr>
      </w:pPr>
      <w:r w:rsidRPr="00A819A7">
        <w:rPr>
          <w:rFonts w:ascii="Aptos" w:hAnsi="Aptos"/>
        </w:rPr>
        <w:t>Whil</w:t>
      </w:r>
      <w:r w:rsidR="00DA0926">
        <w:rPr>
          <w:rFonts w:ascii="Aptos" w:hAnsi="Aptos"/>
        </w:rPr>
        <w:t>e</w:t>
      </w:r>
      <w:r w:rsidRPr="00A819A7">
        <w:rPr>
          <w:rFonts w:ascii="Aptos" w:hAnsi="Aptos"/>
        </w:rPr>
        <w:t xml:space="preserve"> ITOPF’s role during the response</w:t>
      </w:r>
      <w:r w:rsidR="00C21BFB" w:rsidRPr="00A819A7">
        <w:rPr>
          <w:rFonts w:ascii="Aptos" w:hAnsi="Aptos"/>
        </w:rPr>
        <w:t xml:space="preserve"> phase</w:t>
      </w:r>
      <w:r w:rsidRPr="00A819A7">
        <w:rPr>
          <w:rFonts w:ascii="Aptos" w:hAnsi="Aptos"/>
        </w:rPr>
        <w:t xml:space="preserve"> varies from case to case, its approach is always advisory and based on consistent scientific</w:t>
      </w:r>
      <w:r w:rsidR="00BA3FD4">
        <w:rPr>
          <w:rFonts w:ascii="Aptos" w:hAnsi="Aptos"/>
        </w:rPr>
        <w:t xml:space="preserve"> principles and </w:t>
      </w:r>
      <w:proofErr w:type="gramStart"/>
      <w:r w:rsidR="00BA3FD4">
        <w:rPr>
          <w:rFonts w:ascii="Aptos" w:hAnsi="Aptos"/>
        </w:rPr>
        <w:t>past experience</w:t>
      </w:r>
      <w:proofErr w:type="gramEnd"/>
      <w:r w:rsidR="00BA3FD4">
        <w:rPr>
          <w:rFonts w:ascii="Aptos" w:hAnsi="Aptos"/>
        </w:rPr>
        <w:t xml:space="preserve"> attending spills in a large range of habitats and economies.</w:t>
      </w:r>
      <w:r w:rsidRPr="00A819A7">
        <w:rPr>
          <w:rFonts w:ascii="Aptos" w:hAnsi="Aptos"/>
          <w:b/>
          <w:bCs/>
        </w:rPr>
        <w:t xml:space="preserve"> </w:t>
      </w:r>
    </w:p>
    <w:p w14:paraId="4E48008B" w14:textId="77777777" w:rsidR="00DA0926" w:rsidRPr="00A819A7" w:rsidRDefault="00DA0926" w:rsidP="00BD57FE">
      <w:pPr>
        <w:spacing w:after="0" w:line="240" w:lineRule="auto"/>
        <w:rPr>
          <w:rFonts w:ascii="Aptos" w:hAnsi="Aptos"/>
          <w:b/>
          <w:bCs/>
          <w:u w:val="single"/>
        </w:rPr>
      </w:pPr>
    </w:p>
    <w:p w14:paraId="498881CA" w14:textId="51728B72" w:rsidR="00944DF2" w:rsidRDefault="00944DF2" w:rsidP="00BD57FE">
      <w:pPr>
        <w:pStyle w:val="NormalWeb"/>
        <w:shd w:val="clear" w:color="auto" w:fill="FFFFFF"/>
        <w:spacing w:before="0" w:beforeAutospacing="0" w:after="0" w:afterAutospacing="0"/>
        <w:rPr>
          <w:rFonts w:ascii="Aptos" w:hAnsi="Aptos" w:cs="Segoe UI"/>
        </w:rPr>
      </w:pPr>
      <w:r w:rsidRPr="00A819A7">
        <w:rPr>
          <w:rFonts w:ascii="Aptos" w:hAnsi="Aptos" w:cs="Segoe UI"/>
        </w:rPr>
        <w:t>ITOPF’s services during an incident are provided to all relevant stakeholders, including governments, intergovernmental organisations, coastguards, port authorities, wildlife agencies, shipowner</w:t>
      </w:r>
      <w:r w:rsidR="0004477D">
        <w:rPr>
          <w:rFonts w:ascii="Aptos" w:hAnsi="Aptos" w:cs="Segoe UI"/>
        </w:rPr>
        <w:t>s</w:t>
      </w:r>
      <w:r w:rsidRPr="00A819A7">
        <w:rPr>
          <w:rFonts w:ascii="Aptos" w:hAnsi="Aptos" w:cs="Segoe UI"/>
        </w:rPr>
        <w:t>, contractors and claimants.  ITOPF works collaboratively to promote effective spill response as a means of reducing impacts on the environment and affected communities.</w:t>
      </w:r>
    </w:p>
    <w:p w14:paraId="14F6E7D0" w14:textId="77777777" w:rsidR="00DA0926" w:rsidRPr="00A819A7" w:rsidRDefault="00DA0926" w:rsidP="00BD57FE">
      <w:pPr>
        <w:pStyle w:val="NormalWeb"/>
        <w:shd w:val="clear" w:color="auto" w:fill="FFFFFF"/>
        <w:spacing w:before="0" w:beforeAutospacing="0" w:after="0" w:afterAutospacing="0"/>
        <w:rPr>
          <w:rFonts w:ascii="Aptos" w:hAnsi="Aptos" w:cs="Segoe UI"/>
        </w:rPr>
      </w:pPr>
    </w:p>
    <w:p w14:paraId="331B3D3C" w14:textId="64A272AF" w:rsidR="00600FAC" w:rsidRDefault="00600FAC" w:rsidP="00BD57FE">
      <w:pPr>
        <w:pStyle w:val="NormalWeb"/>
        <w:shd w:val="clear" w:color="auto" w:fill="FFFFFF"/>
        <w:spacing w:before="0" w:beforeAutospacing="0" w:after="0" w:afterAutospacing="0"/>
        <w:rPr>
          <w:rFonts w:ascii="Aptos" w:hAnsi="Aptos" w:cs="Segoe UI"/>
        </w:rPr>
      </w:pPr>
      <w:r w:rsidRPr="00BE4FD1">
        <w:rPr>
          <w:rFonts w:ascii="Aptos" w:hAnsi="Aptos" w:cs="Segoe UI"/>
        </w:rPr>
        <w:t xml:space="preserve">The aim is to reach agreement on measures which are technically justified and best suited to the </w:t>
      </w:r>
      <w:r w:rsidR="006C7B75" w:rsidRPr="00BE4FD1">
        <w:rPr>
          <w:rFonts w:ascii="Aptos" w:hAnsi="Aptos" w:cs="Segoe UI"/>
        </w:rPr>
        <w:t>circumstances</w:t>
      </w:r>
      <w:r w:rsidRPr="00BE4FD1">
        <w:rPr>
          <w:rFonts w:ascii="Aptos" w:hAnsi="Aptos" w:cs="Segoe UI"/>
        </w:rPr>
        <w:t xml:space="preserve">. This helps ensure that the clean-up is as effective as possible and that damage is minimised. It also means that subsequent claims for compensation </w:t>
      </w:r>
      <w:r>
        <w:rPr>
          <w:rFonts w:ascii="Aptos" w:hAnsi="Aptos" w:cs="Segoe UI"/>
        </w:rPr>
        <w:t xml:space="preserve">are likely to be admissible in line with </w:t>
      </w:r>
      <w:r w:rsidR="0004477D">
        <w:rPr>
          <w:rFonts w:ascii="Aptos" w:hAnsi="Aptos" w:cs="Segoe UI"/>
        </w:rPr>
        <w:t xml:space="preserve">the </w:t>
      </w:r>
      <w:r>
        <w:rPr>
          <w:rFonts w:ascii="Aptos" w:hAnsi="Aptos" w:cs="Segoe UI"/>
        </w:rPr>
        <w:t>principles of international ship-source pollution conventions</w:t>
      </w:r>
      <w:r w:rsidR="009E0C1E">
        <w:rPr>
          <w:rFonts w:ascii="Aptos" w:hAnsi="Aptos" w:cs="Segoe UI"/>
        </w:rPr>
        <w:t>.</w:t>
      </w:r>
    </w:p>
    <w:p w14:paraId="16DA5826" w14:textId="77777777" w:rsidR="00DA0926" w:rsidRDefault="00DA0926" w:rsidP="00BD57FE">
      <w:pPr>
        <w:pStyle w:val="NormalWeb"/>
        <w:shd w:val="clear" w:color="auto" w:fill="FFFFFF"/>
        <w:spacing w:before="0" w:beforeAutospacing="0" w:after="0" w:afterAutospacing="0"/>
        <w:rPr>
          <w:rFonts w:ascii="Aptos" w:hAnsi="Aptos" w:cs="Segoe UI"/>
        </w:rPr>
      </w:pPr>
    </w:p>
    <w:p w14:paraId="2FD8B8B7" w14:textId="2FAB0DAA" w:rsidR="00410F9A" w:rsidRDefault="00600FAC" w:rsidP="00BD57FE">
      <w:pPr>
        <w:pStyle w:val="NormalWeb"/>
        <w:shd w:val="clear" w:color="auto" w:fill="FFFFFF"/>
        <w:spacing w:before="0" w:beforeAutospacing="0" w:after="0" w:afterAutospacing="0"/>
        <w:rPr>
          <w:rFonts w:ascii="Aptos" w:hAnsi="Aptos" w:cs="Segoe UI"/>
        </w:rPr>
      </w:pPr>
      <w:r>
        <w:rPr>
          <w:rFonts w:ascii="Aptos" w:hAnsi="Aptos" w:cs="Segoe UI"/>
        </w:rPr>
        <w:t xml:space="preserve">However, it is not always possible to reach consensus.  ITOPF acts as an objective technical adviser and not as a decision-maker.  </w:t>
      </w:r>
      <w:r w:rsidR="00380567">
        <w:rPr>
          <w:rFonts w:ascii="Aptos" w:hAnsi="Aptos" w:cs="Segoe UI"/>
        </w:rPr>
        <w:t>Failure to follow ITOPF’s advice may result in higher costs which are later assessed to be unrecoverable. But u</w:t>
      </w:r>
      <w:r>
        <w:rPr>
          <w:rFonts w:ascii="Aptos" w:hAnsi="Aptos" w:cs="Segoe UI"/>
        </w:rPr>
        <w:t xml:space="preserve">ltimately, it is up to the parties managing the incident response </w:t>
      </w:r>
      <w:r w:rsidR="006C7B75">
        <w:rPr>
          <w:rFonts w:ascii="Aptos" w:hAnsi="Aptos" w:cs="Segoe UI"/>
        </w:rPr>
        <w:t>whether</w:t>
      </w:r>
      <w:r w:rsidR="00135734">
        <w:rPr>
          <w:rFonts w:ascii="Aptos" w:hAnsi="Aptos" w:cs="Segoe UI"/>
        </w:rPr>
        <w:t xml:space="preserve"> </w:t>
      </w:r>
      <w:r>
        <w:rPr>
          <w:rFonts w:ascii="Aptos" w:hAnsi="Aptos" w:cs="Segoe UI"/>
        </w:rPr>
        <w:t>to accept ITOPF</w:t>
      </w:r>
      <w:r w:rsidR="004F7D33">
        <w:rPr>
          <w:rFonts w:ascii="Aptos" w:hAnsi="Aptos" w:cs="Segoe UI"/>
        </w:rPr>
        <w:t xml:space="preserve">’s </w:t>
      </w:r>
      <w:r>
        <w:rPr>
          <w:rFonts w:ascii="Aptos" w:hAnsi="Aptos" w:cs="Segoe UI"/>
        </w:rPr>
        <w:t>advice</w:t>
      </w:r>
      <w:r w:rsidR="00410F9A">
        <w:rPr>
          <w:rFonts w:ascii="Aptos" w:hAnsi="Aptos" w:cs="Segoe UI"/>
        </w:rPr>
        <w:t xml:space="preserve">. </w:t>
      </w:r>
    </w:p>
    <w:p w14:paraId="212A6335" w14:textId="77777777" w:rsidR="00EC6E99" w:rsidRDefault="00EC6E99" w:rsidP="00BD57FE">
      <w:pPr>
        <w:spacing w:after="0" w:line="240" w:lineRule="auto"/>
        <w:rPr>
          <w:rFonts w:ascii="Aptos" w:hAnsi="Aptos"/>
          <w:b/>
          <w:bCs/>
          <w:u w:val="single"/>
        </w:rPr>
      </w:pPr>
    </w:p>
    <w:p w14:paraId="1DBE9ABD" w14:textId="77777777" w:rsidR="00BD57FE" w:rsidRDefault="00BD57FE" w:rsidP="00BD57FE">
      <w:pPr>
        <w:spacing w:after="0" w:line="240" w:lineRule="auto"/>
        <w:rPr>
          <w:rFonts w:ascii="Aptos" w:hAnsi="Aptos"/>
          <w:b/>
          <w:bCs/>
          <w:u w:val="single"/>
        </w:rPr>
      </w:pPr>
    </w:p>
    <w:p w14:paraId="31CE82F2" w14:textId="2F5CFF65" w:rsidR="00397965" w:rsidRDefault="00DF012F" w:rsidP="00BD57FE">
      <w:pPr>
        <w:spacing w:after="0" w:line="240" w:lineRule="auto"/>
        <w:rPr>
          <w:rFonts w:ascii="Aptos" w:hAnsi="Aptos"/>
          <w:b/>
          <w:bCs/>
          <w:u w:val="single"/>
        </w:rPr>
      </w:pPr>
      <w:r>
        <w:rPr>
          <w:rFonts w:ascii="Aptos" w:hAnsi="Aptos"/>
          <w:b/>
          <w:bCs/>
          <w:u w:val="single"/>
        </w:rPr>
        <w:t xml:space="preserve">APPROACH TO </w:t>
      </w:r>
      <w:r w:rsidR="00397965" w:rsidRPr="00397965">
        <w:rPr>
          <w:rFonts w:ascii="Aptos" w:hAnsi="Aptos"/>
          <w:b/>
          <w:bCs/>
          <w:u w:val="single"/>
        </w:rPr>
        <w:t>CLAIMS ANALYSIS</w:t>
      </w:r>
    </w:p>
    <w:p w14:paraId="7AA3C860" w14:textId="77777777" w:rsidR="00DA0926" w:rsidRPr="00397965" w:rsidRDefault="00DA0926" w:rsidP="00BD57FE">
      <w:pPr>
        <w:spacing w:after="0" w:line="240" w:lineRule="auto"/>
        <w:rPr>
          <w:rFonts w:ascii="Aptos" w:hAnsi="Aptos"/>
          <w:b/>
          <w:bCs/>
          <w:u w:val="single"/>
        </w:rPr>
      </w:pPr>
    </w:p>
    <w:p w14:paraId="51B5E397" w14:textId="77777777" w:rsidR="00397965" w:rsidRPr="00A819A7" w:rsidRDefault="00397965" w:rsidP="00BD57FE">
      <w:pPr>
        <w:tabs>
          <w:tab w:val="num" w:pos="1440"/>
        </w:tabs>
        <w:spacing w:after="0" w:line="240" w:lineRule="auto"/>
        <w:rPr>
          <w:rFonts w:ascii="Aptos" w:hAnsi="Aptos"/>
        </w:rPr>
      </w:pPr>
      <w:r w:rsidRPr="00A819A7">
        <w:rPr>
          <w:rFonts w:ascii="Aptos" w:hAnsi="Aptos"/>
        </w:rPr>
        <w:t>ITOPF assesses claims based on whether the claim is admissible in line with the principles of international ship-source pollution conventions. ITOPF considers whether adequate, scientifically robust, evidence has been provided to support the claim.  ITOPF reviews decisions to implement reinstatement measures and assesses whether those measures were technically justifiable, and whether the costs claimed are reasonable.</w:t>
      </w:r>
    </w:p>
    <w:p w14:paraId="227B4B4E" w14:textId="77777777" w:rsidR="00BD57FE" w:rsidRDefault="00BD57FE" w:rsidP="00BD57FE">
      <w:pPr>
        <w:spacing w:after="0" w:line="240" w:lineRule="auto"/>
        <w:rPr>
          <w:rFonts w:ascii="Aptos" w:hAnsi="Aptos"/>
        </w:rPr>
      </w:pPr>
    </w:p>
    <w:p w14:paraId="0BAF0742" w14:textId="4A61BC22" w:rsidR="00397965" w:rsidRDefault="00397965" w:rsidP="00BD57FE">
      <w:pPr>
        <w:spacing w:after="0" w:line="240" w:lineRule="auto"/>
        <w:rPr>
          <w:rFonts w:ascii="Aptos" w:hAnsi="Aptos"/>
        </w:rPr>
      </w:pPr>
      <w:r w:rsidRPr="00A819A7">
        <w:rPr>
          <w:rFonts w:ascii="Aptos" w:hAnsi="Aptos"/>
        </w:rPr>
        <w:t>ITOPF does not decide whether claims are paid. Decision-making rests solely with the relevant insurer. Decision makers may consider other factors in addition to ITOPF’s technical advice when approving claims</w:t>
      </w:r>
      <w:r>
        <w:rPr>
          <w:rFonts w:ascii="Aptos" w:hAnsi="Aptos"/>
        </w:rPr>
        <w:t>.</w:t>
      </w:r>
    </w:p>
    <w:p w14:paraId="3133F9B9" w14:textId="77777777" w:rsidR="00AD6958" w:rsidRDefault="00AD6958" w:rsidP="00BD57FE">
      <w:pPr>
        <w:spacing w:after="0" w:line="240" w:lineRule="auto"/>
        <w:rPr>
          <w:rFonts w:ascii="Aptos" w:hAnsi="Aptos"/>
          <w:b/>
          <w:bCs/>
          <w:u w:val="single"/>
        </w:rPr>
      </w:pPr>
    </w:p>
    <w:p w14:paraId="4FFF0D0E" w14:textId="77777777" w:rsidR="00AD6958" w:rsidRDefault="00AD6958" w:rsidP="00BD57FE">
      <w:pPr>
        <w:spacing w:after="0" w:line="240" w:lineRule="auto"/>
        <w:rPr>
          <w:rFonts w:ascii="Aptos" w:hAnsi="Aptos"/>
          <w:b/>
          <w:bCs/>
          <w:u w:val="single"/>
        </w:rPr>
      </w:pPr>
    </w:p>
    <w:p w14:paraId="3C46EAB7" w14:textId="48A0E602" w:rsidR="00936378" w:rsidRDefault="00936378" w:rsidP="00BD57FE">
      <w:pPr>
        <w:spacing w:after="0" w:line="240" w:lineRule="auto"/>
        <w:rPr>
          <w:rFonts w:ascii="Aptos" w:hAnsi="Aptos"/>
          <w:b/>
          <w:bCs/>
          <w:u w:val="single"/>
        </w:rPr>
      </w:pPr>
      <w:r w:rsidRPr="00936378">
        <w:rPr>
          <w:rFonts w:ascii="Aptos" w:hAnsi="Aptos"/>
          <w:b/>
          <w:bCs/>
          <w:u w:val="single"/>
        </w:rPr>
        <w:t>OBJECTIVITY</w:t>
      </w:r>
    </w:p>
    <w:p w14:paraId="6E403AB0" w14:textId="77777777" w:rsidR="00DA0926" w:rsidRDefault="00DA0926" w:rsidP="00BD57FE">
      <w:pPr>
        <w:spacing w:after="0" w:line="240" w:lineRule="auto"/>
        <w:rPr>
          <w:rFonts w:ascii="Aptos" w:hAnsi="Aptos"/>
          <w:b/>
          <w:bCs/>
          <w:u w:val="single"/>
        </w:rPr>
      </w:pPr>
    </w:p>
    <w:p w14:paraId="002D1FE5" w14:textId="6CE9F1B7" w:rsidR="00C508E9" w:rsidRPr="00AD6958" w:rsidRDefault="00155A2C" w:rsidP="00BD57FE">
      <w:pPr>
        <w:pStyle w:val="NormalWeb"/>
        <w:shd w:val="clear" w:color="auto" w:fill="FFFFFF"/>
        <w:spacing w:before="0" w:beforeAutospacing="0" w:after="0" w:afterAutospacing="0"/>
        <w:rPr>
          <w:rFonts w:ascii="Aptos" w:hAnsi="Aptos" w:cs="Segoe UI"/>
        </w:rPr>
      </w:pPr>
      <w:r w:rsidRPr="00EC6E99">
        <w:rPr>
          <w:rFonts w:ascii="Aptos" w:hAnsi="Aptos"/>
        </w:rPr>
        <w:t xml:space="preserve">ITOPF </w:t>
      </w:r>
      <w:r w:rsidR="004F3A93" w:rsidRPr="00EC6E99">
        <w:rPr>
          <w:rFonts w:ascii="Aptos" w:hAnsi="Aptos"/>
        </w:rPr>
        <w:t xml:space="preserve">prides itself on being </w:t>
      </w:r>
      <w:r w:rsidRPr="00EC6E99">
        <w:rPr>
          <w:rFonts w:ascii="Aptos" w:hAnsi="Aptos"/>
        </w:rPr>
        <w:t>a trusted source of objective technical advice worldwide on preparedness and response to accident</w:t>
      </w:r>
      <w:r w:rsidR="0004477D">
        <w:rPr>
          <w:rFonts w:ascii="Aptos" w:hAnsi="Aptos"/>
        </w:rPr>
        <w:t>al</w:t>
      </w:r>
      <w:r w:rsidRPr="00EC6E99">
        <w:rPr>
          <w:rFonts w:ascii="Aptos" w:hAnsi="Aptos"/>
        </w:rPr>
        <w:t xml:space="preserve"> marine spills.  </w:t>
      </w:r>
      <w:r w:rsidR="00C508E9" w:rsidRPr="00503D92">
        <w:rPr>
          <w:rFonts w:ascii="Aptos" w:hAnsi="Aptos"/>
        </w:rPr>
        <w:t>ITOPF’s approach to the sharing of knowledge and expertise during a spill response reflects its objectivity. ITOPF</w:t>
      </w:r>
      <w:r w:rsidR="00DF012F">
        <w:rPr>
          <w:rFonts w:ascii="Aptos" w:hAnsi="Aptos"/>
        </w:rPr>
        <w:t>’s</w:t>
      </w:r>
      <w:r w:rsidR="00C508E9" w:rsidRPr="00503D92">
        <w:rPr>
          <w:rFonts w:ascii="Aptos" w:hAnsi="Aptos" w:cs="Segoe UI"/>
        </w:rPr>
        <w:t xml:space="preserve"> </w:t>
      </w:r>
      <w:r w:rsidR="00C1637F">
        <w:rPr>
          <w:rFonts w:ascii="Aptos" w:hAnsi="Aptos" w:cs="Segoe UI"/>
        </w:rPr>
        <w:t xml:space="preserve">mission statement </w:t>
      </w:r>
      <w:r w:rsidR="00DF012F">
        <w:rPr>
          <w:rFonts w:ascii="Aptos" w:hAnsi="Aptos" w:cs="Segoe UI"/>
        </w:rPr>
        <w:t xml:space="preserve">is </w:t>
      </w:r>
      <w:r w:rsidR="00C508E9" w:rsidRPr="00AD6958">
        <w:rPr>
          <w:rFonts w:ascii="Aptos" w:hAnsi="Aptos" w:cs="Segoe UI"/>
        </w:rPr>
        <w:t xml:space="preserve">to </w:t>
      </w:r>
      <w:r w:rsidR="00C1637F" w:rsidRPr="00AD6958">
        <w:rPr>
          <w:rStyle w:val="cf01"/>
          <w:rFonts w:asciiTheme="minorHAnsi" w:eastAsiaTheme="majorEastAsia" w:hAnsiTheme="minorHAnsi"/>
          <w:sz w:val="24"/>
          <w:szCs w:val="24"/>
        </w:rPr>
        <w:t>promote effective response to marine spills of oil, chemicals and other substances as a means of reducing impacts on the environment and affected communities.</w:t>
      </w:r>
    </w:p>
    <w:p w14:paraId="27EBA6DE" w14:textId="77777777" w:rsidR="007B445C" w:rsidRPr="00503D92" w:rsidRDefault="007B445C" w:rsidP="00BD57FE">
      <w:pPr>
        <w:spacing w:after="0" w:line="240" w:lineRule="auto"/>
        <w:rPr>
          <w:rFonts w:ascii="Aptos" w:hAnsi="Aptos"/>
        </w:rPr>
      </w:pPr>
    </w:p>
    <w:p w14:paraId="6B27F55E" w14:textId="5125FE54" w:rsidR="007634EB" w:rsidRPr="00503D92" w:rsidRDefault="00011538" w:rsidP="00BD57FE">
      <w:pPr>
        <w:spacing w:after="0" w:line="240" w:lineRule="auto"/>
        <w:rPr>
          <w:rFonts w:ascii="Aptos" w:hAnsi="Aptos"/>
        </w:rPr>
      </w:pPr>
      <w:r w:rsidRPr="00503D92">
        <w:rPr>
          <w:rFonts w:ascii="Aptos" w:hAnsi="Aptos" w:cs="Segoe UI"/>
        </w:rPr>
        <w:t xml:space="preserve">ITOPF’s funding model means that it is detached from competing commercial interests </w:t>
      </w:r>
      <w:r w:rsidR="00B33DDA">
        <w:rPr>
          <w:rFonts w:ascii="Aptos" w:hAnsi="Aptos" w:cs="Segoe UI"/>
        </w:rPr>
        <w:t xml:space="preserve">arising from a spill. </w:t>
      </w:r>
    </w:p>
    <w:p w14:paraId="62FD717A" w14:textId="77777777" w:rsidR="007634EB" w:rsidRPr="00503D92" w:rsidRDefault="007634EB" w:rsidP="00BD57FE">
      <w:pPr>
        <w:spacing w:after="0" w:line="240" w:lineRule="auto"/>
        <w:rPr>
          <w:rFonts w:ascii="Aptos" w:hAnsi="Aptos" w:cs="Segoe UI"/>
        </w:rPr>
      </w:pPr>
    </w:p>
    <w:p w14:paraId="301F0A77" w14:textId="53BFD34A" w:rsidR="00011538" w:rsidRPr="00503D92" w:rsidRDefault="007634EB" w:rsidP="00BD57FE">
      <w:pPr>
        <w:spacing w:after="0" w:line="240" w:lineRule="auto"/>
        <w:rPr>
          <w:rFonts w:ascii="Aptos" w:hAnsi="Aptos"/>
        </w:rPr>
      </w:pPr>
      <w:r w:rsidRPr="00503D92">
        <w:rPr>
          <w:rFonts w:ascii="Aptos" w:hAnsi="Aptos" w:cs="Segoe UI"/>
        </w:rPr>
        <w:t xml:space="preserve">ITOPF </w:t>
      </w:r>
      <w:r w:rsidR="00F76CD7">
        <w:rPr>
          <w:rFonts w:ascii="Aptos" w:hAnsi="Aptos" w:cs="Segoe UI"/>
        </w:rPr>
        <w:t xml:space="preserve">is insulated from acting directly for individual shipowners involved in an incident </w:t>
      </w:r>
      <w:r w:rsidRPr="00503D92">
        <w:rPr>
          <w:rFonts w:ascii="Aptos" w:hAnsi="Aptos" w:cs="Segoe UI"/>
        </w:rPr>
        <w:t>because</w:t>
      </w:r>
      <w:r w:rsidR="00011538" w:rsidRPr="00503D92">
        <w:rPr>
          <w:rFonts w:ascii="Aptos" w:hAnsi="Aptos"/>
        </w:rPr>
        <w:t xml:space="preserve"> ITOPF’s income derives </w:t>
      </w:r>
      <w:r w:rsidR="00B33DDA">
        <w:rPr>
          <w:rFonts w:ascii="Aptos" w:hAnsi="Aptos"/>
        </w:rPr>
        <w:t xml:space="preserve">primarily </w:t>
      </w:r>
      <w:r w:rsidR="00011538" w:rsidRPr="00503D92">
        <w:rPr>
          <w:rFonts w:ascii="Aptos" w:hAnsi="Aptos"/>
        </w:rPr>
        <w:t xml:space="preserve">from dues paid </w:t>
      </w:r>
      <w:r w:rsidR="00892DA3">
        <w:rPr>
          <w:rFonts w:ascii="Aptos" w:hAnsi="Aptos"/>
        </w:rPr>
        <w:t xml:space="preserve">for up front and collectively </w:t>
      </w:r>
      <w:r w:rsidR="00011538" w:rsidRPr="00503D92">
        <w:rPr>
          <w:rFonts w:ascii="Aptos" w:hAnsi="Aptos"/>
        </w:rPr>
        <w:t xml:space="preserve">by </w:t>
      </w:r>
      <w:r w:rsidR="00892DA3">
        <w:rPr>
          <w:rFonts w:ascii="Aptos" w:hAnsi="Aptos"/>
        </w:rPr>
        <w:t xml:space="preserve">all </w:t>
      </w:r>
      <w:r w:rsidR="00011538" w:rsidRPr="00503D92">
        <w:rPr>
          <w:rFonts w:ascii="Aptos" w:hAnsi="Aptos"/>
        </w:rPr>
        <w:t>its Members and Associates</w:t>
      </w:r>
      <w:r w:rsidR="00F15874" w:rsidRPr="00503D92">
        <w:rPr>
          <w:rFonts w:ascii="Aptos" w:hAnsi="Aptos"/>
        </w:rPr>
        <w:t xml:space="preserve"> on an annual basis</w:t>
      </w:r>
      <w:r w:rsidR="00011538" w:rsidRPr="00503D92">
        <w:rPr>
          <w:rFonts w:ascii="Aptos" w:hAnsi="Aptos"/>
        </w:rPr>
        <w:t xml:space="preserve">.  </w:t>
      </w:r>
    </w:p>
    <w:p w14:paraId="02E7C8BB" w14:textId="77777777" w:rsidR="00944DF2" w:rsidRPr="00503D92" w:rsidRDefault="00944DF2" w:rsidP="00BD57FE">
      <w:pPr>
        <w:spacing w:after="0" w:line="240" w:lineRule="auto"/>
        <w:rPr>
          <w:rFonts w:ascii="Aptos" w:hAnsi="Aptos"/>
        </w:rPr>
      </w:pPr>
    </w:p>
    <w:p w14:paraId="63872AF6" w14:textId="54AE329E" w:rsidR="006D4ED6" w:rsidRPr="00503D92" w:rsidRDefault="00ED359A" w:rsidP="00BD57FE">
      <w:pPr>
        <w:spacing w:after="0" w:line="240" w:lineRule="auto"/>
        <w:rPr>
          <w:rFonts w:ascii="Aptos" w:hAnsi="Aptos"/>
        </w:rPr>
      </w:pPr>
      <w:r w:rsidRPr="00503D92">
        <w:rPr>
          <w:rFonts w:ascii="Aptos" w:hAnsi="Aptos"/>
        </w:rPr>
        <w:t>Membership of ITOPF is available to an owner or demise charterer of a tanker</w:t>
      </w:r>
      <w:r w:rsidR="0004477D">
        <w:rPr>
          <w:rFonts w:ascii="Aptos" w:hAnsi="Aptos"/>
        </w:rPr>
        <w:t>; this</w:t>
      </w:r>
      <w:r w:rsidRPr="00503D92">
        <w:rPr>
          <w:rFonts w:ascii="Aptos" w:hAnsi="Aptos"/>
        </w:rPr>
        <w:t xml:space="preserve"> being any self or non-self-propelled ship which is designed, constructed, or adapted for the carriage by water in bulk</w:t>
      </w:r>
      <w:r w:rsidR="00B663CC">
        <w:rPr>
          <w:rFonts w:ascii="Aptos" w:hAnsi="Aptos"/>
        </w:rPr>
        <w:t xml:space="preserve"> </w:t>
      </w:r>
      <w:r w:rsidR="00B663CC" w:rsidRPr="00B663CC">
        <w:rPr>
          <w:rFonts w:ascii="Aptos" w:hAnsi="Aptos"/>
        </w:rPr>
        <w:t>of crude petroleum, hydrocarbon products and any other liquid substance.</w:t>
      </w:r>
      <w:r w:rsidRPr="00503D92">
        <w:rPr>
          <w:rFonts w:ascii="Aptos" w:hAnsi="Aptos"/>
        </w:rPr>
        <w:t xml:space="preserve"> Associate status of ITOPF is available to an owner or demise charterer of any ship other than a tanker.</w:t>
      </w:r>
      <w:r w:rsidR="00AF6087" w:rsidRPr="00503D92">
        <w:rPr>
          <w:rFonts w:ascii="Aptos" w:hAnsi="Aptos"/>
        </w:rPr>
        <w:t xml:space="preserve"> Members and Associates are usually entered with ITOPF following a request by the relevant pollution liability insurer.</w:t>
      </w:r>
      <w:r w:rsidR="00944DF2" w:rsidRPr="00503D92">
        <w:rPr>
          <w:rFonts w:ascii="Aptos" w:hAnsi="Aptos"/>
        </w:rPr>
        <w:t xml:space="preserve">  ITOPF does not charge Members or Associates for its time on</w:t>
      </w:r>
      <w:r w:rsidR="009A146F">
        <w:rPr>
          <w:rFonts w:ascii="Aptos" w:hAnsi="Aptos"/>
        </w:rPr>
        <w:t>-</w:t>
      </w:r>
      <w:r w:rsidR="00944DF2" w:rsidRPr="00503D92">
        <w:rPr>
          <w:rFonts w:ascii="Aptos" w:hAnsi="Aptos"/>
        </w:rPr>
        <w:t>site but does seek reimbursement of reasonable expenses incurred.</w:t>
      </w:r>
      <w:r w:rsidR="007B464A">
        <w:rPr>
          <w:rFonts w:ascii="Aptos" w:hAnsi="Aptos"/>
        </w:rPr>
        <w:t xml:space="preserve"> </w:t>
      </w:r>
    </w:p>
    <w:p w14:paraId="0924BDA8" w14:textId="77777777" w:rsidR="00BD57FE" w:rsidRDefault="00BD57FE" w:rsidP="00BD57FE">
      <w:pPr>
        <w:pStyle w:val="NormalWeb"/>
        <w:shd w:val="clear" w:color="auto" w:fill="FFFFFF"/>
        <w:spacing w:before="0" w:beforeAutospacing="0" w:after="0" w:afterAutospacing="0"/>
        <w:rPr>
          <w:rFonts w:ascii="Aptos" w:hAnsi="Aptos" w:cs="Segoe UI"/>
          <w:b/>
          <w:bCs/>
          <w:u w:val="single"/>
        </w:rPr>
      </w:pPr>
    </w:p>
    <w:p w14:paraId="718712A4" w14:textId="77777777" w:rsidR="00BD57FE" w:rsidRDefault="00BD57FE" w:rsidP="00BD57FE">
      <w:pPr>
        <w:pStyle w:val="NormalWeb"/>
        <w:shd w:val="clear" w:color="auto" w:fill="FFFFFF"/>
        <w:spacing w:before="0" w:beforeAutospacing="0" w:after="0" w:afterAutospacing="0"/>
        <w:rPr>
          <w:rFonts w:ascii="Aptos" w:hAnsi="Aptos" w:cs="Segoe UI"/>
          <w:b/>
          <w:bCs/>
          <w:u w:val="single"/>
        </w:rPr>
      </w:pPr>
    </w:p>
    <w:p w14:paraId="7E194380" w14:textId="3442FE5B" w:rsidR="004F3A93" w:rsidRDefault="00373935" w:rsidP="00BD57FE">
      <w:pPr>
        <w:pStyle w:val="NormalWeb"/>
        <w:shd w:val="clear" w:color="auto" w:fill="FFFFFF"/>
        <w:spacing w:before="0" w:beforeAutospacing="0" w:after="0" w:afterAutospacing="0"/>
        <w:rPr>
          <w:rFonts w:ascii="Aptos" w:hAnsi="Aptos" w:cs="Segoe UI"/>
          <w:b/>
          <w:bCs/>
          <w:u w:val="single"/>
        </w:rPr>
      </w:pPr>
      <w:r w:rsidRPr="00830E6D">
        <w:rPr>
          <w:rFonts w:ascii="Aptos" w:hAnsi="Aptos" w:cs="Segoe UI"/>
          <w:b/>
          <w:bCs/>
          <w:u w:val="single"/>
        </w:rPr>
        <w:t>EXPERTISE</w:t>
      </w:r>
    </w:p>
    <w:p w14:paraId="0FB1F9EB" w14:textId="77777777" w:rsidR="00DA0926" w:rsidRPr="00830E6D" w:rsidRDefault="00DA0926" w:rsidP="00BD57FE">
      <w:pPr>
        <w:pStyle w:val="NormalWeb"/>
        <w:shd w:val="clear" w:color="auto" w:fill="FFFFFF"/>
        <w:spacing w:before="0" w:beforeAutospacing="0" w:after="0" w:afterAutospacing="0"/>
        <w:rPr>
          <w:rFonts w:ascii="Aptos" w:hAnsi="Aptos" w:cs="Segoe UI"/>
          <w:b/>
          <w:bCs/>
          <w:u w:val="single"/>
        </w:rPr>
      </w:pPr>
    </w:p>
    <w:p w14:paraId="79AE2B8D" w14:textId="3FAC9D61" w:rsidR="00067712" w:rsidRPr="006A23DB" w:rsidRDefault="006A23DB" w:rsidP="00BD57FE">
      <w:pPr>
        <w:spacing w:after="0" w:line="240" w:lineRule="auto"/>
      </w:pPr>
      <w:r>
        <w:rPr>
          <w:rFonts w:ascii="Aptos" w:hAnsi="Aptos"/>
        </w:rPr>
        <w:t xml:space="preserve">The ITOPF Technical Team is </w:t>
      </w:r>
      <w:r w:rsidRPr="006A23DB">
        <w:t xml:space="preserve">highly skilled </w:t>
      </w:r>
      <w:r w:rsidR="00397965">
        <w:t xml:space="preserve">and has expertise </w:t>
      </w:r>
      <w:r w:rsidRPr="006A23DB">
        <w:t>in marine pollution response, including biology, chemistry, climate science, coastal management and protection, ecology, engineering, environmental science, earth science, fisheries and aquaculture, geography, geology, geophysical hazards, marine biology, marine ecology, marine fisheries science, oceanography, and zoology.</w:t>
      </w:r>
    </w:p>
    <w:p w14:paraId="3813B385" w14:textId="77777777" w:rsidR="00067712" w:rsidRDefault="00067712" w:rsidP="00BD57FE">
      <w:pPr>
        <w:spacing w:after="0" w:line="240" w:lineRule="auto"/>
        <w:rPr>
          <w:rFonts w:ascii="Aptos" w:hAnsi="Aptos"/>
        </w:rPr>
      </w:pPr>
    </w:p>
    <w:p w14:paraId="0DE582F5" w14:textId="5C1E55F9" w:rsidR="009C3BE3" w:rsidRDefault="005A1E32" w:rsidP="00BD57FE">
      <w:pPr>
        <w:spacing w:after="0" w:line="240" w:lineRule="auto"/>
        <w:rPr>
          <w:rFonts w:ascii="Aptos" w:hAnsi="Aptos"/>
        </w:rPr>
      </w:pPr>
      <w:r>
        <w:rPr>
          <w:rFonts w:ascii="Aptos" w:hAnsi="Aptos"/>
        </w:rPr>
        <w:t xml:space="preserve">Individuals within </w:t>
      </w:r>
      <w:r w:rsidR="00FA68F3">
        <w:rPr>
          <w:rFonts w:ascii="Aptos" w:hAnsi="Aptos"/>
        </w:rPr>
        <w:t xml:space="preserve">ITOPF’s entire Technical Team possess a </w:t>
      </w:r>
      <w:proofErr w:type="gramStart"/>
      <w:r w:rsidR="00FA68F3">
        <w:rPr>
          <w:rFonts w:ascii="Aptos" w:hAnsi="Aptos"/>
        </w:rPr>
        <w:t>Master’s</w:t>
      </w:r>
      <w:proofErr w:type="gramEnd"/>
      <w:r w:rsidR="00FA68F3">
        <w:rPr>
          <w:rFonts w:ascii="Aptos" w:hAnsi="Aptos"/>
        </w:rPr>
        <w:t xml:space="preserve"> degree or PhD in their relevant </w:t>
      </w:r>
      <w:r w:rsidR="0026748B">
        <w:rPr>
          <w:rFonts w:ascii="Aptos" w:hAnsi="Aptos"/>
        </w:rPr>
        <w:t>area</w:t>
      </w:r>
      <w:r w:rsidR="00FA68F3">
        <w:rPr>
          <w:rFonts w:ascii="Aptos" w:hAnsi="Aptos"/>
        </w:rPr>
        <w:t xml:space="preserve">. </w:t>
      </w:r>
      <w:r w:rsidR="00C22333">
        <w:rPr>
          <w:rFonts w:ascii="Aptos" w:hAnsi="Aptos"/>
        </w:rPr>
        <w:t>Short b</w:t>
      </w:r>
      <w:r w:rsidR="007A2E39">
        <w:rPr>
          <w:rFonts w:ascii="Aptos" w:hAnsi="Aptos"/>
        </w:rPr>
        <w:t>iographies of the team are included in the ITOPF Handbook.</w:t>
      </w:r>
      <w:r w:rsidR="00E04F71" w:rsidRPr="00E04F71">
        <w:rPr>
          <w:rFonts w:ascii="Aptos" w:hAnsi="Aptos"/>
        </w:rPr>
        <w:t xml:space="preserve"> </w:t>
      </w:r>
      <w:r w:rsidR="00E04F71">
        <w:rPr>
          <w:rFonts w:ascii="Aptos" w:hAnsi="Aptos"/>
        </w:rPr>
        <w:t xml:space="preserve">Team members regularly produce and </w:t>
      </w:r>
      <w:r w:rsidR="009C3BE3">
        <w:rPr>
          <w:rFonts w:ascii="Aptos" w:hAnsi="Aptos"/>
        </w:rPr>
        <w:t xml:space="preserve">contribute to scientific </w:t>
      </w:r>
      <w:r w:rsidR="00E04F71">
        <w:rPr>
          <w:rFonts w:ascii="Aptos" w:hAnsi="Aptos"/>
        </w:rPr>
        <w:t>papers and posters on their areas of expertise</w:t>
      </w:r>
      <w:r w:rsidR="009C3BE3">
        <w:rPr>
          <w:rFonts w:ascii="Aptos" w:hAnsi="Aptos"/>
        </w:rPr>
        <w:t>, including the ITOPF Technical Information Papers</w:t>
      </w:r>
      <w:r w:rsidR="006C7B75">
        <w:rPr>
          <w:rFonts w:ascii="Aptos" w:hAnsi="Aptos"/>
        </w:rPr>
        <w:t>.</w:t>
      </w:r>
    </w:p>
    <w:p w14:paraId="341CCB59" w14:textId="77777777" w:rsidR="00A637B0" w:rsidRDefault="00A637B0" w:rsidP="00BD57FE">
      <w:pPr>
        <w:spacing w:after="0" w:line="240" w:lineRule="auto"/>
        <w:rPr>
          <w:rFonts w:ascii="Aptos" w:hAnsi="Aptos"/>
        </w:rPr>
      </w:pPr>
    </w:p>
    <w:p w14:paraId="796A8E8E" w14:textId="1DAF9BF8" w:rsidR="00A637B0" w:rsidRDefault="00A637B0" w:rsidP="00BD57FE">
      <w:pPr>
        <w:spacing w:after="0" w:line="240" w:lineRule="auto"/>
        <w:rPr>
          <w:rFonts w:ascii="Aptos" w:hAnsi="Aptos"/>
        </w:rPr>
      </w:pPr>
      <w:r>
        <w:rPr>
          <w:rFonts w:ascii="Aptos" w:hAnsi="Aptos"/>
        </w:rPr>
        <w:t xml:space="preserve">The </w:t>
      </w:r>
      <w:r w:rsidR="00295277">
        <w:rPr>
          <w:rFonts w:ascii="Aptos" w:hAnsi="Aptos"/>
        </w:rPr>
        <w:t xml:space="preserve">ITOPF Technical </w:t>
      </w:r>
      <w:r>
        <w:rPr>
          <w:rFonts w:ascii="Aptos" w:hAnsi="Aptos"/>
        </w:rPr>
        <w:t>Team</w:t>
      </w:r>
      <w:r w:rsidR="00295277">
        <w:rPr>
          <w:rFonts w:ascii="Aptos" w:hAnsi="Aptos"/>
        </w:rPr>
        <w:t xml:space="preserve"> keeps </w:t>
      </w:r>
      <w:r>
        <w:rPr>
          <w:rFonts w:ascii="Aptos" w:hAnsi="Aptos"/>
        </w:rPr>
        <w:t xml:space="preserve">up to date with changes in </w:t>
      </w:r>
      <w:r w:rsidR="007705BC">
        <w:rPr>
          <w:rFonts w:ascii="Aptos" w:hAnsi="Aptos"/>
        </w:rPr>
        <w:t xml:space="preserve">the shipping </w:t>
      </w:r>
      <w:r>
        <w:rPr>
          <w:rFonts w:ascii="Aptos" w:hAnsi="Aptos"/>
        </w:rPr>
        <w:t xml:space="preserve">industry, including the adoption of alternative fuels, and shares knowledge internally to ensure it remains a leader in the dissemination of knowledge and best practice across the </w:t>
      </w:r>
      <w:r w:rsidR="007705BC">
        <w:rPr>
          <w:rFonts w:ascii="Aptos" w:hAnsi="Aptos"/>
        </w:rPr>
        <w:t xml:space="preserve">spill response </w:t>
      </w:r>
      <w:r>
        <w:rPr>
          <w:rFonts w:ascii="Aptos" w:hAnsi="Aptos"/>
        </w:rPr>
        <w:t>industry</w:t>
      </w:r>
      <w:r w:rsidR="009D528C">
        <w:rPr>
          <w:rFonts w:ascii="Aptos" w:hAnsi="Aptos"/>
        </w:rPr>
        <w:t xml:space="preserve">. </w:t>
      </w:r>
      <w:r w:rsidR="00503D92">
        <w:rPr>
          <w:rFonts w:ascii="Aptos" w:hAnsi="Aptos"/>
        </w:rPr>
        <w:t>Externally, the team are members of several working groups including providing advice to the UN system on marine environmental protection.</w:t>
      </w:r>
    </w:p>
    <w:p w14:paraId="6EA9AD2B" w14:textId="77777777" w:rsidR="008635E0" w:rsidRDefault="008635E0" w:rsidP="00BD57FE">
      <w:pPr>
        <w:spacing w:after="0" w:line="240" w:lineRule="auto"/>
        <w:rPr>
          <w:rFonts w:ascii="Aptos" w:hAnsi="Aptos"/>
        </w:rPr>
      </w:pPr>
    </w:p>
    <w:p w14:paraId="4A3B346C" w14:textId="08161545" w:rsidR="009D528C" w:rsidRDefault="009D528C" w:rsidP="00BD57FE">
      <w:pPr>
        <w:spacing w:after="0" w:line="240" w:lineRule="auto"/>
        <w:rPr>
          <w:rFonts w:ascii="Aptos" w:hAnsi="Aptos"/>
        </w:rPr>
      </w:pPr>
      <w:r>
        <w:rPr>
          <w:rFonts w:ascii="Aptos" w:hAnsi="Aptos"/>
        </w:rPr>
        <w:t xml:space="preserve">ITOPF holds observer status at IMO and </w:t>
      </w:r>
      <w:r w:rsidR="0004477D">
        <w:rPr>
          <w:rFonts w:ascii="Aptos" w:hAnsi="Aptos"/>
        </w:rPr>
        <w:t xml:space="preserve">the </w:t>
      </w:r>
      <w:r>
        <w:rPr>
          <w:rFonts w:ascii="Aptos" w:hAnsi="Aptos"/>
        </w:rPr>
        <w:t>IOPC Funds.</w:t>
      </w:r>
    </w:p>
    <w:p w14:paraId="101C2932" w14:textId="77777777" w:rsidR="009D528C" w:rsidRDefault="009D528C" w:rsidP="00BD57FE">
      <w:pPr>
        <w:spacing w:after="0" w:line="240" w:lineRule="auto"/>
        <w:rPr>
          <w:rFonts w:ascii="Aptos" w:hAnsi="Aptos"/>
        </w:rPr>
      </w:pPr>
    </w:p>
    <w:p w14:paraId="60C8CE33" w14:textId="523AB0B6" w:rsidR="008635E0" w:rsidRDefault="008635E0" w:rsidP="00BD57FE">
      <w:pPr>
        <w:spacing w:after="0" w:line="240" w:lineRule="auto"/>
        <w:rPr>
          <w:rFonts w:ascii="Aptos" w:hAnsi="Aptos"/>
        </w:rPr>
      </w:pPr>
      <w:r w:rsidRPr="00996563">
        <w:rPr>
          <w:rFonts w:ascii="Aptos" w:hAnsi="Aptos"/>
        </w:rPr>
        <w:t>ITOPF</w:t>
      </w:r>
      <w:r>
        <w:rPr>
          <w:rFonts w:ascii="Aptos" w:hAnsi="Aptos"/>
        </w:rPr>
        <w:t xml:space="preserve"> </w:t>
      </w:r>
      <w:r w:rsidRPr="00996563">
        <w:rPr>
          <w:rFonts w:ascii="Aptos" w:hAnsi="Aptos"/>
        </w:rPr>
        <w:t xml:space="preserve">delivers international training on ship-pollution response to government agencies, on behalf of </w:t>
      </w:r>
      <w:r w:rsidR="009D528C">
        <w:rPr>
          <w:rFonts w:ascii="Aptos" w:hAnsi="Aptos"/>
        </w:rPr>
        <w:t xml:space="preserve">IMO </w:t>
      </w:r>
      <w:r w:rsidRPr="00996563">
        <w:rPr>
          <w:rFonts w:ascii="Aptos" w:hAnsi="Aptos"/>
        </w:rPr>
        <w:t>and at the request of national authorities</w:t>
      </w:r>
      <w:r>
        <w:rPr>
          <w:rFonts w:ascii="Aptos" w:hAnsi="Aptos"/>
        </w:rPr>
        <w:t>.</w:t>
      </w:r>
    </w:p>
    <w:p w14:paraId="18E85B15" w14:textId="77777777" w:rsidR="000D3F3A" w:rsidRPr="006A23DB" w:rsidRDefault="000D3F3A" w:rsidP="00BD57FE">
      <w:pPr>
        <w:spacing w:after="0" w:line="240" w:lineRule="auto"/>
      </w:pPr>
    </w:p>
    <w:p w14:paraId="7EF4D643" w14:textId="49AC961B" w:rsidR="00DA0926" w:rsidRDefault="00F14777" w:rsidP="00BD57FE">
      <w:pPr>
        <w:spacing w:after="0" w:line="240" w:lineRule="auto"/>
        <w:rPr>
          <w:b/>
          <w:bCs/>
        </w:rPr>
      </w:pPr>
      <w:r>
        <w:rPr>
          <w:b/>
          <w:bCs/>
        </w:rPr>
        <w:t xml:space="preserve">Contact: </w:t>
      </w:r>
      <w:hyperlink r:id="rId8" w:history="1">
        <w:r w:rsidRPr="00807626">
          <w:rPr>
            <w:rStyle w:val="Hyperlink"/>
            <w:b/>
            <w:bCs/>
          </w:rPr>
          <w:t>press@itopf.org</w:t>
        </w:r>
      </w:hyperlink>
      <w:r>
        <w:rPr>
          <w:b/>
          <w:bCs/>
        </w:rPr>
        <w:t xml:space="preserve"> </w:t>
      </w:r>
    </w:p>
    <w:p w14:paraId="6BCB4F5B" w14:textId="77777777" w:rsidR="00F14777" w:rsidRDefault="00F14777" w:rsidP="00BD57FE">
      <w:pPr>
        <w:spacing w:after="0" w:line="240" w:lineRule="auto"/>
        <w:rPr>
          <w:b/>
          <w:bCs/>
        </w:rPr>
      </w:pPr>
    </w:p>
    <w:p w14:paraId="14B46C67" w14:textId="3EAC9C4C" w:rsidR="00293D96" w:rsidRPr="00DA0926" w:rsidRDefault="00293D96" w:rsidP="00BD57FE">
      <w:pPr>
        <w:spacing w:after="0" w:line="240" w:lineRule="auto"/>
        <w:rPr>
          <w:b/>
          <w:bCs/>
        </w:rPr>
      </w:pPr>
      <w:r w:rsidRPr="00DA0926">
        <w:rPr>
          <w:b/>
          <w:bCs/>
        </w:rPr>
        <w:t>END</w:t>
      </w:r>
      <w:r w:rsidR="00DA0926">
        <w:rPr>
          <w:b/>
          <w:bCs/>
        </w:rPr>
        <w:t>S</w:t>
      </w:r>
    </w:p>
    <w:sectPr w:rsidR="00293D96" w:rsidRPr="00DA092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4E77" w14:textId="77777777" w:rsidR="00864E8C" w:rsidRDefault="00864E8C" w:rsidP="00BD57FE">
      <w:pPr>
        <w:spacing w:after="0" w:line="240" w:lineRule="auto"/>
      </w:pPr>
      <w:r>
        <w:separator/>
      </w:r>
    </w:p>
  </w:endnote>
  <w:endnote w:type="continuationSeparator" w:id="0">
    <w:p w14:paraId="0769269A" w14:textId="77777777" w:rsidR="00864E8C" w:rsidRDefault="00864E8C" w:rsidP="00BD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AE02" w14:textId="7D0C0584" w:rsidR="00BD57FE" w:rsidRDefault="00BD57FE" w:rsidP="00AD6958">
    <w:pPr>
      <w:pStyle w:val="Footer"/>
      <w:jc w:val="center"/>
      <w:rPr>
        <w:sz w:val="18"/>
        <w:szCs w:val="18"/>
      </w:rPr>
    </w:pPr>
    <w:r w:rsidRPr="00295A10">
      <w:rPr>
        <w:sz w:val="18"/>
        <w:szCs w:val="18"/>
      </w:rPr>
      <w:t>ITOPF L</w:t>
    </w:r>
    <w:r w:rsidR="00744487">
      <w:rPr>
        <w:sz w:val="18"/>
        <w:szCs w:val="18"/>
      </w:rPr>
      <w:t>imited</w:t>
    </w:r>
    <w:r w:rsidR="00AD6958" w:rsidRPr="00295A10">
      <w:rPr>
        <w:sz w:val="18"/>
        <w:szCs w:val="18"/>
      </w:rPr>
      <w:t xml:space="preserve"> - </w:t>
    </w:r>
    <w:hyperlink r:id="rId1" w:history="1">
      <w:r w:rsidR="00AD6958" w:rsidRPr="00F14777">
        <w:rPr>
          <w:rStyle w:val="Hyperlink"/>
          <w:sz w:val="16"/>
          <w:szCs w:val="16"/>
        </w:rPr>
        <w:t>www.itopf.org</w:t>
      </w:r>
    </w:hyperlink>
    <w:r w:rsidR="00295A10" w:rsidRPr="00F14777">
      <w:rPr>
        <w:sz w:val="16"/>
        <w:szCs w:val="16"/>
      </w:rPr>
      <w:t xml:space="preserve"> – Contact </w:t>
    </w:r>
    <w:r w:rsidR="00F14777" w:rsidRPr="00F14777">
      <w:rPr>
        <w:sz w:val="16"/>
        <w:szCs w:val="16"/>
      </w:rPr>
      <w:t xml:space="preserve">– </w:t>
    </w:r>
    <w:hyperlink r:id="rId2" w:history="1">
      <w:r w:rsidR="00F14777" w:rsidRPr="00F14777">
        <w:rPr>
          <w:rStyle w:val="Hyperlink"/>
          <w:sz w:val="16"/>
          <w:szCs w:val="16"/>
        </w:rPr>
        <w:t>press@itopf.org</w:t>
      </w:r>
    </w:hyperlink>
    <w:r w:rsidR="00F14777">
      <w:rPr>
        <w:sz w:val="18"/>
        <w:szCs w:val="18"/>
      </w:rPr>
      <w:t xml:space="preserve"> </w:t>
    </w:r>
  </w:p>
  <w:p w14:paraId="1ABD4FD9" w14:textId="77777777" w:rsidR="00744487" w:rsidRPr="00295A10" w:rsidRDefault="00744487" w:rsidP="00AD6958">
    <w:pPr>
      <w:pStyle w:val="Footer"/>
      <w:jc w:val="center"/>
      <w:rPr>
        <w:sz w:val="18"/>
        <w:szCs w:val="18"/>
      </w:rPr>
    </w:pPr>
  </w:p>
  <w:p w14:paraId="46C77807" w14:textId="0DB51AF5" w:rsidR="00BD57FE" w:rsidRPr="00BD57FE" w:rsidRDefault="00BD57FE" w:rsidP="00BD57FE">
    <w:pPr>
      <w:pStyle w:val="Footer"/>
      <w:jc w:val="center"/>
      <w:rPr>
        <w:sz w:val="16"/>
        <w:szCs w:val="16"/>
        <w:lang w:val="en-US"/>
      </w:rPr>
    </w:pPr>
    <w:r w:rsidRPr="00BD57FE">
      <w:rPr>
        <w:sz w:val="16"/>
        <w:szCs w:val="16"/>
        <w:lang w:val="en-US"/>
      </w:rPr>
      <w:t>UK registered office &amp; correspondence address: Dashwood House, 69 Old Broad Street, London, EC2M</w:t>
    </w:r>
    <w:r w:rsidR="00987A89">
      <w:rPr>
        <w:sz w:val="16"/>
        <w:szCs w:val="16"/>
        <w:lang w:val="en-US"/>
      </w:rPr>
      <w:t xml:space="preserve"> </w:t>
    </w:r>
    <w:r w:rsidRPr="00BD57FE">
      <w:rPr>
        <w:sz w:val="16"/>
        <w:szCs w:val="16"/>
        <w:lang w:val="en-US"/>
      </w:rPr>
      <w:t>1QS.</w:t>
    </w:r>
  </w:p>
  <w:p w14:paraId="6D547E61" w14:textId="77777777" w:rsidR="00BD57FE" w:rsidRPr="00BD57FE" w:rsidRDefault="00BD57FE" w:rsidP="00BD57FE">
    <w:pPr>
      <w:pStyle w:val="Footer"/>
      <w:jc w:val="center"/>
      <w:rPr>
        <w:sz w:val="16"/>
        <w:szCs w:val="16"/>
        <w:lang w:val="en-US"/>
      </w:rPr>
    </w:pPr>
    <w:r w:rsidRPr="00BD57FE">
      <w:rPr>
        <w:sz w:val="16"/>
        <w:szCs w:val="16"/>
        <w:lang w:val="en-US"/>
      </w:rPr>
      <w:t>Singapore correspondence address: The Executive Centre, Level 17, Frasers Towers, 182 Cecil Street, Singapore 069547</w:t>
    </w:r>
  </w:p>
  <w:p w14:paraId="3F8D9B1E" w14:textId="2FA35F87" w:rsidR="00BD57FE" w:rsidRDefault="00BD57FE" w:rsidP="00BD57FE">
    <w:pPr>
      <w:pStyle w:val="Footer"/>
      <w:jc w:val="center"/>
      <w:rPr>
        <w:sz w:val="16"/>
        <w:szCs w:val="16"/>
        <w:lang w:val="en-US"/>
      </w:rPr>
    </w:pPr>
    <w:r w:rsidRPr="00BD57FE">
      <w:rPr>
        <w:sz w:val="16"/>
        <w:szCs w:val="16"/>
        <w:lang w:val="en-US"/>
      </w:rPr>
      <w:t>Singapore registered office address: 12 Marina View, #11-01, Asia Square Tower 2, Singapore, 018961. Singapore UEN: T22FC0062E</w:t>
    </w:r>
  </w:p>
  <w:p w14:paraId="1D7E9D43" w14:textId="77777777" w:rsidR="00744487" w:rsidRDefault="00744487" w:rsidP="00BD57FE">
    <w:pPr>
      <w:pStyle w:val="Footer"/>
      <w:jc w:val="center"/>
      <w:rPr>
        <w:sz w:val="16"/>
        <w:szCs w:val="16"/>
        <w:lang w:val="en-US"/>
      </w:rPr>
    </w:pPr>
  </w:p>
  <w:p w14:paraId="1AF0218C" w14:textId="33BD795A" w:rsidR="00AD6958" w:rsidRPr="00BD57FE" w:rsidRDefault="00AD6958" w:rsidP="00AD6958">
    <w:pPr>
      <w:pStyle w:val="Footer"/>
      <w:jc w:val="center"/>
      <w:rPr>
        <w:sz w:val="16"/>
        <w:szCs w:val="16"/>
        <w:lang w:val="en-US"/>
      </w:rPr>
    </w:pPr>
    <w:r>
      <w:rPr>
        <w:sz w:val="16"/>
        <w:szCs w:val="16"/>
        <w:lang w:val="en-US"/>
      </w:rPr>
      <w:t xml:space="preserve"> </w:t>
    </w:r>
    <w:r w:rsidRPr="00AD6958">
      <w:rPr>
        <w:sz w:val="16"/>
        <w:szCs w:val="16"/>
        <w:lang w:val="en-US"/>
      </w:rPr>
      <w:t xml:space="preserve">Page </w:t>
    </w:r>
    <w:r w:rsidRPr="00AD6958">
      <w:rPr>
        <w:b/>
        <w:bCs/>
        <w:sz w:val="16"/>
        <w:szCs w:val="16"/>
        <w:lang w:val="en-US"/>
      </w:rPr>
      <w:fldChar w:fldCharType="begin"/>
    </w:r>
    <w:r w:rsidRPr="00AD6958">
      <w:rPr>
        <w:b/>
        <w:bCs/>
        <w:sz w:val="16"/>
        <w:szCs w:val="16"/>
        <w:lang w:val="en-US"/>
      </w:rPr>
      <w:instrText xml:space="preserve"> PAGE  \* Arabic  \* MERGEFORMAT </w:instrText>
    </w:r>
    <w:r w:rsidRPr="00AD6958">
      <w:rPr>
        <w:b/>
        <w:bCs/>
        <w:sz w:val="16"/>
        <w:szCs w:val="16"/>
        <w:lang w:val="en-US"/>
      </w:rPr>
      <w:fldChar w:fldCharType="separate"/>
    </w:r>
    <w:r w:rsidRPr="00AD6958">
      <w:rPr>
        <w:b/>
        <w:bCs/>
        <w:noProof/>
        <w:sz w:val="16"/>
        <w:szCs w:val="16"/>
        <w:lang w:val="en-US"/>
      </w:rPr>
      <w:t>1</w:t>
    </w:r>
    <w:r w:rsidRPr="00AD6958">
      <w:rPr>
        <w:b/>
        <w:bCs/>
        <w:sz w:val="16"/>
        <w:szCs w:val="16"/>
        <w:lang w:val="en-US"/>
      </w:rPr>
      <w:fldChar w:fldCharType="end"/>
    </w:r>
    <w:r w:rsidRPr="00AD6958">
      <w:rPr>
        <w:sz w:val="16"/>
        <w:szCs w:val="16"/>
        <w:lang w:val="en-US"/>
      </w:rPr>
      <w:t xml:space="preserve"> of </w:t>
    </w:r>
    <w:r w:rsidRPr="00AD6958">
      <w:rPr>
        <w:b/>
        <w:bCs/>
        <w:sz w:val="16"/>
        <w:szCs w:val="16"/>
        <w:lang w:val="en-US"/>
      </w:rPr>
      <w:fldChar w:fldCharType="begin"/>
    </w:r>
    <w:r w:rsidRPr="00AD6958">
      <w:rPr>
        <w:b/>
        <w:bCs/>
        <w:sz w:val="16"/>
        <w:szCs w:val="16"/>
        <w:lang w:val="en-US"/>
      </w:rPr>
      <w:instrText xml:space="preserve"> NUMPAGES  \* Arabic  \* MERGEFORMAT </w:instrText>
    </w:r>
    <w:r w:rsidRPr="00AD6958">
      <w:rPr>
        <w:b/>
        <w:bCs/>
        <w:sz w:val="16"/>
        <w:szCs w:val="16"/>
        <w:lang w:val="en-US"/>
      </w:rPr>
      <w:fldChar w:fldCharType="separate"/>
    </w:r>
    <w:r w:rsidRPr="00AD6958">
      <w:rPr>
        <w:b/>
        <w:bCs/>
        <w:noProof/>
        <w:sz w:val="16"/>
        <w:szCs w:val="16"/>
        <w:lang w:val="en-US"/>
      </w:rPr>
      <w:t>2</w:t>
    </w:r>
    <w:r w:rsidRPr="00AD6958">
      <w:rPr>
        <w:b/>
        <w:bCs/>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E6C6" w14:textId="77777777" w:rsidR="00864E8C" w:rsidRDefault="00864E8C" w:rsidP="00BD57FE">
      <w:pPr>
        <w:spacing w:after="0" w:line="240" w:lineRule="auto"/>
      </w:pPr>
      <w:r>
        <w:separator/>
      </w:r>
    </w:p>
  </w:footnote>
  <w:footnote w:type="continuationSeparator" w:id="0">
    <w:p w14:paraId="0735CC27" w14:textId="77777777" w:rsidR="00864E8C" w:rsidRDefault="00864E8C" w:rsidP="00BD5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63F9" w14:textId="197BFFB0" w:rsidR="00BD57FE" w:rsidRPr="00BD57FE" w:rsidRDefault="00BD57FE">
    <w:pPr>
      <w:pStyle w:val="Header"/>
      <w:rPr>
        <w:sz w:val="16"/>
        <w:szCs w:val="16"/>
      </w:rPr>
    </w:pPr>
    <w:r>
      <w:rPr>
        <w:noProof/>
      </w:rPr>
      <w:drawing>
        <wp:anchor distT="0" distB="0" distL="114300" distR="114300" simplePos="0" relativeHeight="251658240" behindDoc="1" locked="0" layoutInCell="1" allowOverlap="1" wp14:anchorId="374B3C5D" wp14:editId="2D1F11EC">
          <wp:simplePos x="0" y="0"/>
          <wp:positionH relativeFrom="column">
            <wp:posOffset>-647700</wp:posOffset>
          </wp:positionH>
          <wp:positionV relativeFrom="paragraph">
            <wp:posOffset>-259715</wp:posOffset>
          </wp:positionV>
          <wp:extent cx="499110" cy="539115"/>
          <wp:effectExtent l="0" t="0" r="0" b="0"/>
          <wp:wrapTight wrapText="bothSides">
            <wp:wrapPolygon edited="0">
              <wp:start x="10718" y="0"/>
              <wp:lineTo x="0" y="763"/>
              <wp:lineTo x="0" y="20608"/>
              <wp:lineTo x="20611" y="20608"/>
              <wp:lineTo x="20611" y="0"/>
              <wp:lineTo x="10718" y="0"/>
            </wp:wrapPolygon>
          </wp:wrapTight>
          <wp:docPr id="1681717418" name="Picture 1" descr="A blue and green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17418" name="Picture 1" descr="A blue and green w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99110" cy="53911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2F6"/>
    <w:multiLevelType w:val="hybridMultilevel"/>
    <w:tmpl w:val="195C4A2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433A34"/>
    <w:multiLevelType w:val="hybridMultilevel"/>
    <w:tmpl w:val="5C74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4207F"/>
    <w:multiLevelType w:val="hybridMultilevel"/>
    <w:tmpl w:val="B0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A26B2"/>
    <w:multiLevelType w:val="hybridMultilevel"/>
    <w:tmpl w:val="6454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E47CE"/>
    <w:multiLevelType w:val="hybridMultilevel"/>
    <w:tmpl w:val="5D6C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9597D"/>
    <w:multiLevelType w:val="hybridMultilevel"/>
    <w:tmpl w:val="A4468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892055">
    <w:abstractNumId w:val="5"/>
  </w:num>
  <w:num w:numId="2" w16cid:durableId="1469468852">
    <w:abstractNumId w:val="4"/>
  </w:num>
  <w:num w:numId="3" w16cid:durableId="1839884244">
    <w:abstractNumId w:val="1"/>
  </w:num>
  <w:num w:numId="4" w16cid:durableId="595020521">
    <w:abstractNumId w:val="2"/>
  </w:num>
  <w:num w:numId="5" w16cid:durableId="758335113">
    <w:abstractNumId w:val="3"/>
  </w:num>
  <w:num w:numId="6" w16cid:durableId="27244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D1"/>
    <w:rsid w:val="00011538"/>
    <w:rsid w:val="000116E1"/>
    <w:rsid w:val="00021145"/>
    <w:rsid w:val="00033382"/>
    <w:rsid w:val="00044464"/>
    <w:rsid w:val="0004477D"/>
    <w:rsid w:val="00062696"/>
    <w:rsid w:val="00065DDF"/>
    <w:rsid w:val="00067712"/>
    <w:rsid w:val="000802EC"/>
    <w:rsid w:val="000D3F3A"/>
    <w:rsid w:val="000F4192"/>
    <w:rsid w:val="001064C4"/>
    <w:rsid w:val="001073A0"/>
    <w:rsid w:val="00135734"/>
    <w:rsid w:val="00150632"/>
    <w:rsid w:val="00155A2C"/>
    <w:rsid w:val="00193F9C"/>
    <w:rsid w:val="001A4771"/>
    <w:rsid w:val="001A4F17"/>
    <w:rsid w:val="001B7BA2"/>
    <w:rsid w:val="001C0757"/>
    <w:rsid w:val="001C3995"/>
    <w:rsid w:val="001D2D47"/>
    <w:rsid w:val="001D63D7"/>
    <w:rsid w:val="001E26C9"/>
    <w:rsid w:val="002063A7"/>
    <w:rsid w:val="00216969"/>
    <w:rsid w:val="00223F01"/>
    <w:rsid w:val="00234217"/>
    <w:rsid w:val="0026748B"/>
    <w:rsid w:val="00272C88"/>
    <w:rsid w:val="0029230F"/>
    <w:rsid w:val="00293D96"/>
    <w:rsid w:val="00295277"/>
    <w:rsid w:val="00295A10"/>
    <w:rsid w:val="002A7849"/>
    <w:rsid w:val="002B3DA8"/>
    <w:rsid w:val="002B6DB0"/>
    <w:rsid w:val="003004CA"/>
    <w:rsid w:val="0030628D"/>
    <w:rsid w:val="0032773D"/>
    <w:rsid w:val="003544AE"/>
    <w:rsid w:val="00363879"/>
    <w:rsid w:val="00373935"/>
    <w:rsid w:val="00374920"/>
    <w:rsid w:val="00380567"/>
    <w:rsid w:val="00397965"/>
    <w:rsid w:val="003A2306"/>
    <w:rsid w:val="003C0614"/>
    <w:rsid w:val="003C3DDF"/>
    <w:rsid w:val="003E2A45"/>
    <w:rsid w:val="003E3D14"/>
    <w:rsid w:val="004022BD"/>
    <w:rsid w:val="00410F9A"/>
    <w:rsid w:val="004222AA"/>
    <w:rsid w:val="004259EB"/>
    <w:rsid w:val="00446765"/>
    <w:rsid w:val="004E4016"/>
    <w:rsid w:val="004E5B2B"/>
    <w:rsid w:val="004F3A93"/>
    <w:rsid w:val="004F7D33"/>
    <w:rsid w:val="00503D92"/>
    <w:rsid w:val="00536B4D"/>
    <w:rsid w:val="0055655A"/>
    <w:rsid w:val="005A1E29"/>
    <w:rsid w:val="005A1E32"/>
    <w:rsid w:val="005A1EEC"/>
    <w:rsid w:val="005A775A"/>
    <w:rsid w:val="005E7736"/>
    <w:rsid w:val="005F74A4"/>
    <w:rsid w:val="005F7E4C"/>
    <w:rsid w:val="00600FAC"/>
    <w:rsid w:val="006134C1"/>
    <w:rsid w:val="00625741"/>
    <w:rsid w:val="00640A68"/>
    <w:rsid w:val="00645304"/>
    <w:rsid w:val="006A23DB"/>
    <w:rsid w:val="006C7B75"/>
    <w:rsid w:val="006D0C55"/>
    <w:rsid w:val="006D0CF2"/>
    <w:rsid w:val="006D4ED6"/>
    <w:rsid w:val="006F4906"/>
    <w:rsid w:val="007162BC"/>
    <w:rsid w:val="00716E1D"/>
    <w:rsid w:val="007223AD"/>
    <w:rsid w:val="00726A73"/>
    <w:rsid w:val="00744487"/>
    <w:rsid w:val="007634EB"/>
    <w:rsid w:val="007705BC"/>
    <w:rsid w:val="00776DBE"/>
    <w:rsid w:val="0079602E"/>
    <w:rsid w:val="007A2E39"/>
    <w:rsid w:val="007A6E03"/>
    <w:rsid w:val="007B1074"/>
    <w:rsid w:val="007B445C"/>
    <w:rsid w:val="007B464A"/>
    <w:rsid w:val="007D0E91"/>
    <w:rsid w:val="0081396F"/>
    <w:rsid w:val="008179DD"/>
    <w:rsid w:val="00823BA8"/>
    <w:rsid w:val="00830E6D"/>
    <w:rsid w:val="00835571"/>
    <w:rsid w:val="008375D8"/>
    <w:rsid w:val="0083764A"/>
    <w:rsid w:val="008459A2"/>
    <w:rsid w:val="00854D85"/>
    <w:rsid w:val="008635E0"/>
    <w:rsid w:val="00864E8C"/>
    <w:rsid w:val="00892DA3"/>
    <w:rsid w:val="008E5FB2"/>
    <w:rsid w:val="00912D03"/>
    <w:rsid w:val="00936378"/>
    <w:rsid w:val="00944DF2"/>
    <w:rsid w:val="00962A8E"/>
    <w:rsid w:val="00987A89"/>
    <w:rsid w:val="009A146F"/>
    <w:rsid w:val="009C10A0"/>
    <w:rsid w:val="009C3BE3"/>
    <w:rsid w:val="009D3CB1"/>
    <w:rsid w:val="009D528C"/>
    <w:rsid w:val="009E0C1E"/>
    <w:rsid w:val="009F2262"/>
    <w:rsid w:val="00A064A3"/>
    <w:rsid w:val="00A37306"/>
    <w:rsid w:val="00A61123"/>
    <w:rsid w:val="00A637B0"/>
    <w:rsid w:val="00A773C5"/>
    <w:rsid w:val="00A819A7"/>
    <w:rsid w:val="00A82480"/>
    <w:rsid w:val="00AA4CF0"/>
    <w:rsid w:val="00AD6958"/>
    <w:rsid w:val="00AE48A1"/>
    <w:rsid w:val="00AF6087"/>
    <w:rsid w:val="00B172D6"/>
    <w:rsid w:val="00B21947"/>
    <w:rsid w:val="00B33DDA"/>
    <w:rsid w:val="00B644EF"/>
    <w:rsid w:val="00B663CC"/>
    <w:rsid w:val="00B77E52"/>
    <w:rsid w:val="00BA0D55"/>
    <w:rsid w:val="00BA2402"/>
    <w:rsid w:val="00BA3ACF"/>
    <w:rsid w:val="00BA3FD4"/>
    <w:rsid w:val="00BD57FE"/>
    <w:rsid w:val="00BE4FD1"/>
    <w:rsid w:val="00BE4FEA"/>
    <w:rsid w:val="00BF0C01"/>
    <w:rsid w:val="00BF509E"/>
    <w:rsid w:val="00C1637F"/>
    <w:rsid w:val="00C21BFB"/>
    <w:rsid w:val="00C22333"/>
    <w:rsid w:val="00C352B4"/>
    <w:rsid w:val="00C508E9"/>
    <w:rsid w:val="00C6576E"/>
    <w:rsid w:val="00C7183D"/>
    <w:rsid w:val="00C85625"/>
    <w:rsid w:val="00C96DA5"/>
    <w:rsid w:val="00D12DBD"/>
    <w:rsid w:val="00D610A2"/>
    <w:rsid w:val="00D84947"/>
    <w:rsid w:val="00D90361"/>
    <w:rsid w:val="00D97073"/>
    <w:rsid w:val="00DA0926"/>
    <w:rsid w:val="00DA1CBC"/>
    <w:rsid w:val="00DE711B"/>
    <w:rsid w:val="00DE7786"/>
    <w:rsid w:val="00DF012F"/>
    <w:rsid w:val="00E04F71"/>
    <w:rsid w:val="00E11CA2"/>
    <w:rsid w:val="00E324AB"/>
    <w:rsid w:val="00E32E0A"/>
    <w:rsid w:val="00E52021"/>
    <w:rsid w:val="00E8052F"/>
    <w:rsid w:val="00EC6E99"/>
    <w:rsid w:val="00ED359A"/>
    <w:rsid w:val="00EF4A5D"/>
    <w:rsid w:val="00F14777"/>
    <w:rsid w:val="00F15874"/>
    <w:rsid w:val="00F279C8"/>
    <w:rsid w:val="00F37D17"/>
    <w:rsid w:val="00F4517F"/>
    <w:rsid w:val="00F46735"/>
    <w:rsid w:val="00F7581A"/>
    <w:rsid w:val="00F76CD7"/>
    <w:rsid w:val="00F76F78"/>
    <w:rsid w:val="00F909E8"/>
    <w:rsid w:val="00F9151E"/>
    <w:rsid w:val="00F95D0B"/>
    <w:rsid w:val="00FA68F3"/>
    <w:rsid w:val="00FC4196"/>
    <w:rsid w:val="00FD5BF5"/>
    <w:rsid w:val="00FF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D48ED"/>
  <w15:chartTrackingRefBased/>
  <w15:docId w15:val="{451D90A7-7732-4CDD-AABE-A38595B0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FD1"/>
    <w:rPr>
      <w:rFonts w:eastAsiaTheme="majorEastAsia" w:cstheme="majorBidi"/>
      <w:color w:val="272727" w:themeColor="text1" w:themeTint="D8"/>
    </w:rPr>
  </w:style>
  <w:style w:type="paragraph" w:styleId="Title">
    <w:name w:val="Title"/>
    <w:basedOn w:val="Normal"/>
    <w:next w:val="Normal"/>
    <w:link w:val="TitleChar"/>
    <w:uiPriority w:val="10"/>
    <w:qFormat/>
    <w:rsid w:val="00BE4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FD1"/>
    <w:pPr>
      <w:spacing w:before="160"/>
      <w:jc w:val="center"/>
    </w:pPr>
    <w:rPr>
      <w:i/>
      <w:iCs/>
      <w:color w:val="404040" w:themeColor="text1" w:themeTint="BF"/>
    </w:rPr>
  </w:style>
  <w:style w:type="character" w:customStyle="1" w:styleId="QuoteChar">
    <w:name w:val="Quote Char"/>
    <w:basedOn w:val="DefaultParagraphFont"/>
    <w:link w:val="Quote"/>
    <w:uiPriority w:val="29"/>
    <w:rsid w:val="00BE4FD1"/>
    <w:rPr>
      <w:i/>
      <w:iCs/>
      <w:color w:val="404040" w:themeColor="text1" w:themeTint="BF"/>
    </w:rPr>
  </w:style>
  <w:style w:type="paragraph" w:styleId="ListParagraph">
    <w:name w:val="List Paragraph"/>
    <w:basedOn w:val="Normal"/>
    <w:uiPriority w:val="34"/>
    <w:qFormat/>
    <w:rsid w:val="00BE4FD1"/>
    <w:pPr>
      <w:ind w:left="720"/>
      <w:contextualSpacing/>
    </w:pPr>
  </w:style>
  <w:style w:type="character" w:styleId="IntenseEmphasis">
    <w:name w:val="Intense Emphasis"/>
    <w:basedOn w:val="DefaultParagraphFont"/>
    <w:uiPriority w:val="21"/>
    <w:qFormat/>
    <w:rsid w:val="00BE4FD1"/>
    <w:rPr>
      <w:i/>
      <w:iCs/>
      <w:color w:val="0F4761" w:themeColor="accent1" w:themeShade="BF"/>
    </w:rPr>
  </w:style>
  <w:style w:type="paragraph" w:styleId="IntenseQuote">
    <w:name w:val="Intense Quote"/>
    <w:basedOn w:val="Normal"/>
    <w:next w:val="Normal"/>
    <w:link w:val="IntenseQuoteChar"/>
    <w:uiPriority w:val="30"/>
    <w:qFormat/>
    <w:rsid w:val="00BE4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FD1"/>
    <w:rPr>
      <w:i/>
      <w:iCs/>
      <w:color w:val="0F4761" w:themeColor="accent1" w:themeShade="BF"/>
    </w:rPr>
  </w:style>
  <w:style w:type="character" w:styleId="IntenseReference">
    <w:name w:val="Intense Reference"/>
    <w:basedOn w:val="DefaultParagraphFont"/>
    <w:uiPriority w:val="32"/>
    <w:qFormat/>
    <w:rsid w:val="00BE4FD1"/>
    <w:rPr>
      <w:b/>
      <w:bCs/>
      <w:smallCaps/>
      <w:color w:val="0F4761" w:themeColor="accent1" w:themeShade="BF"/>
      <w:spacing w:val="5"/>
    </w:rPr>
  </w:style>
  <w:style w:type="paragraph" w:styleId="NormalWeb">
    <w:name w:val="Normal (Web)"/>
    <w:basedOn w:val="Normal"/>
    <w:uiPriority w:val="99"/>
    <w:unhideWhenUsed/>
    <w:rsid w:val="00BE4F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5A775A"/>
    <w:pPr>
      <w:spacing w:after="0" w:line="240" w:lineRule="auto"/>
    </w:pPr>
  </w:style>
  <w:style w:type="character" w:styleId="CommentReference">
    <w:name w:val="annotation reference"/>
    <w:basedOn w:val="DefaultParagraphFont"/>
    <w:uiPriority w:val="99"/>
    <w:semiHidden/>
    <w:unhideWhenUsed/>
    <w:rsid w:val="00726A73"/>
    <w:rPr>
      <w:sz w:val="16"/>
      <w:szCs w:val="16"/>
    </w:rPr>
  </w:style>
  <w:style w:type="paragraph" w:styleId="CommentText">
    <w:name w:val="annotation text"/>
    <w:basedOn w:val="Normal"/>
    <w:link w:val="CommentTextChar"/>
    <w:uiPriority w:val="99"/>
    <w:unhideWhenUsed/>
    <w:rsid w:val="00726A73"/>
    <w:pPr>
      <w:spacing w:line="240" w:lineRule="auto"/>
    </w:pPr>
    <w:rPr>
      <w:sz w:val="20"/>
      <w:szCs w:val="20"/>
    </w:rPr>
  </w:style>
  <w:style w:type="character" w:customStyle="1" w:styleId="CommentTextChar">
    <w:name w:val="Comment Text Char"/>
    <w:basedOn w:val="DefaultParagraphFont"/>
    <w:link w:val="CommentText"/>
    <w:uiPriority w:val="99"/>
    <w:rsid w:val="00726A73"/>
    <w:rPr>
      <w:sz w:val="20"/>
      <w:szCs w:val="20"/>
    </w:rPr>
  </w:style>
  <w:style w:type="paragraph" w:styleId="CommentSubject">
    <w:name w:val="annotation subject"/>
    <w:basedOn w:val="CommentText"/>
    <w:next w:val="CommentText"/>
    <w:link w:val="CommentSubjectChar"/>
    <w:uiPriority w:val="99"/>
    <w:semiHidden/>
    <w:unhideWhenUsed/>
    <w:rsid w:val="00726A73"/>
    <w:rPr>
      <w:b/>
      <w:bCs/>
    </w:rPr>
  </w:style>
  <w:style w:type="character" w:customStyle="1" w:styleId="CommentSubjectChar">
    <w:name w:val="Comment Subject Char"/>
    <w:basedOn w:val="CommentTextChar"/>
    <w:link w:val="CommentSubject"/>
    <w:uiPriority w:val="99"/>
    <w:semiHidden/>
    <w:rsid w:val="00726A73"/>
    <w:rPr>
      <w:b/>
      <w:bCs/>
      <w:sz w:val="20"/>
      <w:szCs w:val="20"/>
    </w:rPr>
  </w:style>
  <w:style w:type="character" w:styleId="Hyperlink">
    <w:name w:val="Hyperlink"/>
    <w:basedOn w:val="DefaultParagraphFont"/>
    <w:uiPriority w:val="99"/>
    <w:unhideWhenUsed/>
    <w:rsid w:val="0079602E"/>
    <w:rPr>
      <w:color w:val="467886" w:themeColor="hyperlink"/>
      <w:u w:val="single"/>
    </w:rPr>
  </w:style>
  <w:style w:type="character" w:styleId="UnresolvedMention">
    <w:name w:val="Unresolved Mention"/>
    <w:basedOn w:val="DefaultParagraphFont"/>
    <w:uiPriority w:val="99"/>
    <w:semiHidden/>
    <w:unhideWhenUsed/>
    <w:rsid w:val="0079602E"/>
    <w:rPr>
      <w:color w:val="605E5C"/>
      <w:shd w:val="clear" w:color="auto" w:fill="E1DFDD"/>
    </w:rPr>
  </w:style>
  <w:style w:type="character" w:customStyle="1" w:styleId="cf01">
    <w:name w:val="cf01"/>
    <w:basedOn w:val="DefaultParagraphFont"/>
    <w:rsid w:val="00C1637F"/>
    <w:rPr>
      <w:rFonts w:ascii="Segoe UI" w:hAnsi="Segoe UI" w:cs="Segoe UI" w:hint="default"/>
      <w:sz w:val="18"/>
      <w:szCs w:val="18"/>
    </w:rPr>
  </w:style>
  <w:style w:type="paragraph" w:styleId="Header">
    <w:name w:val="header"/>
    <w:basedOn w:val="Normal"/>
    <w:link w:val="HeaderChar"/>
    <w:uiPriority w:val="99"/>
    <w:unhideWhenUsed/>
    <w:rsid w:val="00BD5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7FE"/>
  </w:style>
  <w:style w:type="paragraph" w:styleId="Footer">
    <w:name w:val="footer"/>
    <w:basedOn w:val="Normal"/>
    <w:link w:val="FooterChar"/>
    <w:uiPriority w:val="99"/>
    <w:unhideWhenUsed/>
    <w:rsid w:val="00BD5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itop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ess@itopf.org" TargetMode="External"/><Relationship Id="rId1" Type="http://schemas.openxmlformats.org/officeDocument/2006/relationships/hyperlink" Target="http://www.itop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87ADC7-3246-458F-98EF-1D85302F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Lane</dc:creator>
  <cp:keywords/>
  <dc:description/>
  <cp:lastModifiedBy>Joe Lane</cp:lastModifiedBy>
  <cp:revision>9</cp:revision>
  <cp:lastPrinted>2025-10-07T08:39:00Z</cp:lastPrinted>
  <dcterms:created xsi:type="dcterms:W3CDTF">2025-10-21T09:47:00Z</dcterms:created>
  <dcterms:modified xsi:type="dcterms:W3CDTF">2025-10-21T11:43:00Z</dcterms:modified>
</cp:coreProperties>
</file>