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B8" w:rsidRPr="003313B8" w:rsidRDefault="003313B8" w:rsidP="003313B8">
      <w:pPr>
        <w:jc w:val="center"/>
        <w:rPr>
          <w:rFonts w:ascii="Calibri" w:hAnsi="Calibri"/>
          <w:b/>
          <w:sz w:val="32"/>
          <w:szCs w:val="32"/>
        </w:rPr>
      </w:pPr>
      <w:r w:rsidRPr="003313B8">
        <w:rPr>
          <w:rFonts w:ascii="Calibri" w:hAnsi="Calibri"/>
          <w:b/>
          <w:sz w:val="32"/>
          <w:szCs w:val="32"/>
        </w:rPr>
        <w:t>ITOPF WINS GOLD STEVIE® AWARD IN 2014 INTERNATIONAL BUSINESS AWARDS</w:t>
      </w:r>
      <w:r w:rsidRPr="003313B8">
        <w:rPr>
          <w:rFonts w:ascii="Calibri" w:hAnsi="Calibri"/>
          <w:b/>
          <w:sz w:val="32"/>
          <w:szCs w:val="32"/>
          <w:vertAlign w:val="superscript"/>
        </w:rPr>
        <w:t>SM</w:t>
      </w:r>
    </w:p>
    <w:p w:rsidR="003313B8" w:rsidRPr="001E3CBF" w:rsidRDefault="00CA36C7" w:rsidP="003313B8">
      <w:pPr>
        <w:pStyle w:val="Heading2"/>
        <w:jc w:val="left"/>
        <w:rPr>
          <w:rFonts w:ascii="Calibri" w:hAnsi="Calibri"/>
          <w:sz w:val="22"/>
          <w:szCs w:val="22"/>
        </w:rPr>
      </w:pPr>
      <w:r w:rsidRPr="001E3CBF">
        <w:rPr>
          <w:rFonts w:ascii="Calibri" w:hAnsi="Calibri"/>
          <w:noProof/>
          <w:lang w:val="en-GB" w:eastAsia="en-GB"/>
        </w:rPr>
        <w:drawing>
          <wp:anchor distT="0" distB="0" distL="114300" distR="114300" simplePos="0" relativeHeight="251659264" behindDoc="1" locked="0" layoutInCell="1" allowOverlap="1" wp14:anchorId="1CAA0C5A" wp14:editId="42A8AC9D">
            <wp:simplePos x="0" y="0"/>
            <wp:positionH relativeFrom="margin">
              <wp:align>center</wp:align>
            </wp:positionH>
            <wp:positionV relativeFrom="page">
              <wp:posOffset>2033270</wp:posOffset>
            </wp:positionV>
            <wp:extent cx="2256790" cy="1367790"/>
            <wp:effectExtent l="0" t="0" r="0" b="3810"/>
            <wp:wrapTopAndBottom/>
            <wp:docPr id="4" name="Picture 4" descr="IBA14_Gold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A14_Gold_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679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6C7" w:rsidRDefault="00CA36C7" w:rsidP="003313B8">
      <w:pPr>
        <w:rPr>
          <w:rFonts w:ascii="Calibri" w:hAnsi="Calibri"/>
        </w:rPr>
      </w:pPr>
    </w:p>
    <w:p w:rsidR="003313B8" w:rsidRPr="001E3CBF" w:rsidRDefault="003313B8" w:rsidP="003313B8">
      <w:pPr>
        <w:rPr>
          <w:rFonts w:ascii="Calibri" w:hAnsi="Calibri"/>
        </w:rPr>
      </w:pPr>
      <w:r w:rsidRPr="001E3CBF">
        <w:rPr>
          <w:rFonts w:ascii="Calibri" w:hAnsi="Calibri"/>
        </w:rPr>
        <w:t>ITOPF was named the winner of a Gold Stevie® Award in the 11</w:t>
      </w:r>
      <w:r w:rsidRPr="001E3CBF">
        <w:rPr>
          <w:rFonts w:ascii="Calibri" w:hAnsi="Calibri"/>
          <w:vertAlign w:val="superscript"/>
        </w:rPr>
        <w:t>th</w:t>
      </w:r>
      <w:r w:rsidRPr="001E3CBF">
        <w:rPr>
          <w:rFonts w:ascii="Calibri" w:hAnsi="Calibri"/>
        </w:rPr>
        <w:t xml:space="preserve"> Annual International Business Awards</w:t>
      </w:r>
      <w:r w:rsidRPr="00A407AA">
        <w:rPr>
          <w:rFonts w:ascii="Calibri" w:hAnsi="Calibri"/>
          <w:vertAlign w:val="superscript"/>
        </w:rPr>
        <w:t>SM</w:t>
      </w:r>
      <w:r w:rsidRPr="001E3CBF">
        <w:rPr>
          <w:rFonts w:ascii="Calibri" w:hAnsi="Calibri"/>
        </w:rPr>
        <w:t xml:space="preserve">.  </w:t>
      </w:r>
    </w:p>
    <w:p w:rsidR="003313B8" w:rsidRPr="001E3CBF" w:rsidRDefault="003313B8" w:rsidP="003313B8">
      <w:pPr>
        <w:rPr>
          <w:rFonts w:ascii="Calibri" w:hAnsi="Calibri"/>
        </w:rPr>
      </w:pPr>
      <w:r w:rsidRPr="001E3CBF">
        <w:rPr>
          <w:rFonts w:ascii="Calibri" w:hAnsi="Calibri"/>
        </w:rPr>
        <w:t>It received the Award in the “training” category for its seven part film series “Response to Marine Oil Spills.”</w:t>
      </w:r>
    </w:p>
    <w:p w:rsidR="003313B8" w:rsidRPr="001E3CBF" w:rsidRDefault="003313B8" w:rsidP="003313B8">
      <w:pPr>
        <w:rPr>
          <w:rFonts w:ascii="Calibri" w:hAnsi="Calibri" w:cs="Helvetica"/>
        </w:rPr>
      </w:pPr>
      <w:r w:rsidRPr="001E3CBF">
        <w:rPr>
          <w:rFonts w:ascii="Calibri" w:hAnsi="Calibri" w:cs="Helvetica"/>
        </w:rPr>
        <w:t>This series promotes good practice and raises awareness of some of the issues involved in oil spill response.  The films are freely available to view online or can be purchased as a single DVD from ITOPF’s website.</w:t>
      </w:r>
    </w:p>
    <w:p w:rsidR="003313B8" w:rsidRPr="001E3CBF" w:rsidRDefault="003313B8" w:rsidP="003313B8">
      <w:pPr>
        <w:rPr>
          <w:rFonts w:ascii="Calibri" w:hAnsi="Calibri" w:cs="Arial"/>
        </w:rPr>
      </w:pPr>
      <w:r w:rsidRPr="001E3CBF">
        <w:rPr>
          <w:rFonts w:ascii="Calibri" w:hAnsi="Calibri" w:cs="Arial"/>
        </w:rPr>
        <w:t>The Stevie Awards were created in 2002 to</w:t>
      </w:r>
      <w:r w:rsidRPr="003313B8">
        <w:rPr>
          <w:rFonts w:ascii="Calibri" w:hAnsi="Calibri" w:cs="Arial"/>
          <w:lang w:val="en-GB"/>
        </w:rPr>
        <w:t xml:space="preserve"> honour</w:t>
      </w:r>
      <w:r w:rsidRPr="001E3CBF">
        <w:rPr>
          <w:rFonts w:ascii="Calibri" w:hAnsi="Calibri" w:cs="Arial"/>
        </w:rPr>
        <w:t xml:space="preserve"> and generate public recognition of the achievements and positive contributions of</w:t>
      </w:r>
      <w:r w:rsidRPr="003313B8">
        <w:rPr>
          <w:rFonts w:ascii="Calibri" w:hAnsi="Calibri" w:cs="Arial"/>
          <w:lang w:val="en-GB"/>
        </w:rPr>
        <w:t xml:space="preserve"> organisations</w:t>
      </w:r>
      <w:r w:rsidRPr="001E3CBF">
        <w:rPr>
          <w:rFonts w:ascii="Calibri" w:hAnsi="Calibri" w:cs="Arial"/>
        </w:rPr>
        <w:t xml:space="preserve"> and working professionals worldwide. </w:t>
      </w:r>
    </w:p>
    <w:p w:rsidR="003313B8" w:rsidRPr="001E3CBF" w:rsidRDefault="003313B8" w:rsidP="003313B8">
      <w:pPr>
        <w:pStyle w:val="NormalWeb"/>
        <w:shd w:val="clear" w:color="auto" w:fill="FFFFFF"/>
        <w:rPr>
          <w:rFonts w:ascii="Calibri" w:hAnsi="Calibri" w:cs="Arial"/>
          <w:sz w:val="22"/>
          <w:szCs w:val="22"/>
        </w:rPr>
      </w:pPr>
      <w:r w:rsidRPr="001E3CBF">
        <w:rPr>
          <w:rFonts w:ascii="Calibri" w:hAnsi="Calibri" w:cs="Arial"/>
          <w:sz w:val="22"/>
          <w:szCs w:val="22"/>
        </w:rPr>
        <w:t>Stevie Award winners were selected by more than 250 executives worldwide who participated in the judging process from May t</w:t>
      </w:r>
      <w:r>
        <w:rPr>
          <w:rFonts w:ascii="Calibri" w:hAnsi="Calibri" w:cs="Arial"/>
          <w:sz w:val="22"/>
          <w:szCs w:val="22"/>
        </w:rPr>
        <w:t>o</w:t>
      </w:r>
      <w:r w:rsidRPr="001E3CBF">
        <w:rPr>
          <w:rFonts w:ascii="Calibri" w:hAnsi="Calibri" w:cs="Arial"/>
          <w:sz w:val="22"/>
          <w:szCs w:val="22"/>
        </w:rPr>
        <w:t xml:space="preserve"> early August.</w:t>
      </w:r>
    </w:p>
    <w:p w:rsidR="003313B8" w:rsidRPr="001E3CBF" w:rsidRDefault="003313B8" w:rsidP="003313B8">
      <w:pPr>
        <w:rPr>
          <w:rFonts w:ascii="Calibri" w:hAnsi="Calibri"/>
        </w:rPr>
      </w:pPr>
      <w:r w:rsidRPr="001E3CBF">
        <w:rPr>
          <w:rFonts w:ascii="Calibri" w:hAnsi="Calibri"/>
        </w:rPr>
        <w:t xml:space="preserve">ITOPF Managing Director, Dr Karen Purnell, said “Having already won </w:t>
      </w:r>
      <w:r w:rsidRPr="001E3CBF">
        <w:rPr>
          <w:rFonts w:ascii="Calibri" w:hAnsi="Calibri" w:cs="Helvetica"/>
        </w:rPr>
        <w:t xml:space="preserve">the top three prizes at the </w:t>
      </w:r>
      <w:r w:rsidRPr="001E3CBF">
        <w:rPr>
          <w:rFonts w:ascii="Calibri" w:hAnsi="Calibri"/>
        </w:rPr>
        <w:t xml:space="preserve">International Oil Spill Conference </w:t>
      </w:r>
      <w:r>
        <w:rPr>
          <w:rFonts w:ascii="Calibri" w:hAnsi="Calibri"/>
        </w:rPr>
        <w:t xml:space="preserve">Film Festival </w:t>
      </w:r>
      <w:r w:rsidRPr="001E3CBF">
        <w:rPr>
          <w:rFonts w:ascii="Calibri" w:hAnsi="Calibri"/>
        </w:rPr>
        <w:t xml:space="preserve">in the USA, we are delighted that the films have now received accolades beyond our own industry sector. This Award is welcome confirmation that the films are comprehensible and engaging and hit the right notes as a training resource”. </w:t>
      </w:r>
    </w:p>
    <w:p w:rsidR="003313B8" w:rsidRPr="001E3CBF" w:rsidRDefault="003313B8" w:rsidP="003313B8">
      <w:pPr>
        <w:pStyle w:val="NormalWeb"/>
        <w:shd w:val="clear" w:color="auto" w:fill="FFFFFF"/>
        <w:rPr>
          <w:rFonts w:ascii="Calibri" w:hAnsi="Calibri" w:cs="Arial"/>
          <w:sz w:val="22"/>
          <w:szCs w:val="22"/>
        </w:rPr>
      </w:pPr>
      <w:r w:rsidRPr="001E3CBF">
        <w:rPr>
          <w:rFonts w:ascii="Calibri" w:hAnsi="Calibri" w:cs="Arial"/>
          <w:sz w:val="22"/>
          <w:szCs w:val="22"/>
        </w:rPr>
        <w:t xml:space="preserve">Nicknamed the Stevies for the Greek word for "crowned," the awards will be presented to winners at a gala awards banquet at the Westin Paris – Vendome Hotel in </w:t>
      </w:r>
      <w:r w:rsidRPr="001E3CBF">
        <w:rPr>
          <w:rStyle w:val="xn-location"/>
          <w:rFonts w:ascii="Calibri" w:hAnsi="Calibri" w:cs="Arial"/>
          <w:sz w:val="22"/>
          <w:szCs w:val="22"/>
        </w:rPr>
        <w:t>Paris, France</w:t>
      </w:r>
      <w:r w:rsidRPr="001E3CBF">
        <w:rPr>
          <w:rFonts w:ascii="Calibri" w:hAnsi="Calibri" w:cs="Arial"/>
          <w:sz w:val="22"/>
          <w:szCs w:val="22"/>
        </w:rPr>
        <w:t xml:space="preserve"> on 10</w:t>
      </w:r>
      <w:r w:rsidR="00CB2CD6" w:rsidRPr="00CB2CD6">
        <w:rPr>
          <w:rFonts w:ascii="Calibri" w:hAnsi="Calibri" w:cs="Arial"/>
          <w:sz w:val="22"/>
          <w:szCs w:val="22"/>
          <w:vertAlign w:val="superscript"/>
        </w:rPr>
        <w:t>th</w:t>
      </w:r>
      <w:r w:rsidR="00CB2CD6">
        <w:rPr>
          <w:rFonts w:ascii="Calibri" w:hAnsi="Calibri" w:cs="Arial"/>
          <w:sz w:val="22"/>
          <w:szCs w:val="22"/>
        </w:rPr>
        <w:t xml:space="preserve"> </w:t>
      </w:r>
      <w:r w:rsidRPr="001E3CBF">
        <w:rPr>
          <w:rFonts w:ascii="Calibri" w:hAnsi="Calibri" w:cs="Arial"/>
          <w:sz w:val="22"/>
          <w:szCs w:val="22"/>
        </w:rPr>
        <w:t xml:space="preserve">October.  </w:t>
      </w:r>
    </w:p>
    <w:p w:rsidR="003313B8" w:rsidRPr="001E3CBF" w:rsidRDefault="003313B8" w:rsidP="003313B8">
      <w:pPr>
        <w:pStyle w:val="NormalWeb"/>
        <w:shd w:val="clear" w:color="auto" w:fill="FFFFFF"/>
        <w:rPr>
          <w:rFonts w:ascii="Calibri" w:hAnsi="Calibri" w:cs="Arial"/>
          <w:sz w:val="22"/>
          <w:szCs w:val="22"/>
        </w:rPr>
      </w:pPr>
      <w:r w:rsidRPr="001E3CBF">
        <w:rPr>
          <w:rFonts w:ascii="Calibri" w:hAnsi="Calibri" w:cs="Arial"/>
          <w:sz w:val="22"/>
          <w:szCs w:val="22"/>
        </w:rPr>
        <w:t xml:space="preserve">"We congratulate all of the Stevie winners in this year's IBAs," said </w:t>
      </w:r>
      <w:r w:rsidRPr="001E3CBF">
        <w:rPr>
          <w:rStyle w:val="xn-person"/>
          <w:rFonts w:ascii="Calibri" w:hAnsi="Calibri" w:cs="Arial"/>
          <w:sz w:val="22"/>
          <w:szCs w:val="22"/>
        </w:rPr>
        <w:t>Michael Gallagher</w:t>
      </w:r>
      <w:r w:rsidRPr="001E3CBF">
        <w:rPr>
          <w:rFonts w:ascii="Calibri" w:hAnsi="Calibri" w:cs="Arial"/>
          <w:sz w:val="22"/>
          <w:szCs w:val="22"/>
        </w:rPr>
        <w:t xml:space="preserve">, president and founder of the Stevie Awards. "The quality of entries we receive improves every year. This year's judges were rewarded with the opportunity to review more than 3,500 stories of business achievement and innovation from around the world.  We look forward to celebrating the winners' achievements in </w:t>
      </w:r>
      <w:r w:rsidRPr="001E3CBF">
        <w:rPr>
          <w:rStyle w:val="xn-location"/>
          <w:rFonts w:ascii="Calibri" w:hAnsi="Calibri" w:cs="Arial"/>
          <w:sz w:val="22"/>
          <w:szCs w:val="22"/>
        </w:rPr>
        <w:t>Paris</w:t>
      </w:r>
      <w:r w:rsidRPr="001E3CBF">
        <w:rPr>
          <w:rFonts w:ascii="Calibri" w:hAnsi="Calibri" w:cs="Arial"/>
          <w:sz w:val="22"/>
          <w:szCs w:val="22"/>
        </w:rPr>
        <w:t xml:space="preserve"> on 10 October."</w:t>
      </w:r>
    </w:p>
    <w:p w:rsidR="003313B8" w:rsidRDefault="003313B8" w:rsidP="003313B8">
      <w:pPr>
        <w:rPr>
          <w:rFonts w:ascii="Calibri" w:hAnsi="Calibri"/>
        </w:rPr>
      </w:pPr>
      <w:r w:rsidRPr="001E3CBF">
        <w:rPr>
          <w:rFonts w:ascii="Calibri" w:hAnsi="Calibri"/>
        </w:rPr>
        <w:t xml:space="preserve">Details about the International Business Awards and the lists of Stevie Award winners are available at </w:t>
      </w:r>
      <w:hyperlink r:id="rId9" w:history="1">
        <w:r w:rsidRPr="001E3CBF">
          <w:rPr>
            <w:rStyle w:val="Hyperlink"/>
            <w:rFonts w:ascii="Calibri" w:hAnsi="Calibri"/>
          </w:rPr>
          <w:t>www.StevieAwards.com/IBA</w:t>
        </w:r>
      </w:hyperlink>
      <w:r w:rsidRPr="001E3CBF">
        <w:rPr>
          <w:rFonts w:ascii="Calibri" w:hAnsi="Calibri"/>
        </w:rPr>
        <w:t xml:space="preserve">. </w:t>
      </w:r>
    </w:p>
    <w:p w:rsidR="003313B8" w:rsidRDefault="003313B8" w:rsidP="003313B8">
      <w:pPr>
        <w:jc w:val="right"/>
        <w:rPr>
          <w:rFonts w:ascii="Calibri" w:hAnsi="Calibri"/>
        </w:rPr>
      </w:pPr>
    </w:p>
    <w:p w:rsidR="003313B8" w:rsidRPr="001E3CBF" w:rsidRDefault="003313B8" w:rsidP="003313B8">
      <w:pPr>
        <w:jc w:val="right"/>
        <w:rPr>
          <w:rFonts w:ascii="Calibri" w:hAnsi="Calibri"/>
        </w:rPr>
      </w:pPr>
      <w:r>
        <w:rPr>
          <w:rFonts w:ascii="Calibri" w:hAnsi="Calibri"/>
        </w:rPr>
        <w:t>19th August 2014</w:t>
      </w:r>
    </w:p>
    <w:p w:rsidR="00180F21" w:rsidRPr="00CA36C7" w:rsidRDefault="00180F21" w:rsidP="00CA36C7">
      <w:pPr>
        <w:spacing w:line="240" w:lineRule="auto"/>
        <w:rPr>
          <w:rFonts w:cs="Tahoma"/>
          <w:b/>
          <w:sz w:val="28"/>
          <w:szCs w:val="28"/>
          <w:u w:val="single"/>
        </w:rPr>
      </w:pPr>
      <w:r w:rsidRPr="00CA36C7">
        <w:rPr>
          <w:rFonts w:cs="Tahoma"/>
          <w:b/>
          <w:sz w:val="28"/>
          <w:szCs w:val="28"/>
          <w:u w:val="single"/>
        </w:rPr>
        <w:lastRenderedPageBreak/>
        <w:t>Notes for Editors:</w:t>
      </w:r>
    </w:p>
    <w:p w:rsidR="002840A3" w:rsidRPr="00CA36C7" w:rsidRDefault="002840A3" w:rsidP="00CA36C7">
      <w:pPr>
        <w:spacing w:before="240" w:after="240" w:line="240" w:lineRule="auto"/>
        <w:rPr>
          <w:rFonts w:cs="Arial"/>
          <w:b/>
          <w:u w:val="single"/>
        </w:rPr>
      </w:pPr>
      <w:r w:rsidRPr="00CA36C7">
        <w:rPr>
          <w:rFonts w:cs="Arial"/>
          <w:b/>
          <w:u w:val="single"/>
        </w:rPr>
        <w:t>ITOPF Film Series – Response to Marine Oil Spills</w:t>
      </w:r>
    </w:p>
    <w:p w:rsidR="002840A3" w:rsidRPr="00CA36C7" w:rsidRDefault="002840A3" w:rsidP="00CA36C7">
      <w:pPr>
        <w:shd w:val="clear" w:color="auto" w:fill="FFFFFF"/>
        <w:spacing w:after="192" w:line="240" w:lineRule="auto"/>
        <w:rPr>
          <w:rFonts w:cs="Arial"/>
        </w:rPr>
      </w:pPr>
      <w:r w:rsidRPr="00CA36C7">
        <w:rPr>
          <w:rFonts w:cs="Arial"/>
        </w:rPr>
        <w:t>ITOPF has launched a new series of seven films on oil spills, their impacts, effective response and compensation. The films are designed to promote good practice and raise awareness of some of the issues involved in oil spill response. They incorporate footage shot on location at oil spills worldwide since 2007, combined with interviews and archive film from the major incidents of the last 45 years.</w:t>
      </w:r>
    </w:p>
    <w:p w:rsidR="002840A3" w:rsidRPr="00CA36C7" w:rsidRDefault="002840A3" w:rsidP="00CA36C7">
      <w:pPr>
        <w:shd w:val="clear" w:color="auto" w:fill="FFFFFF"/>
        <w:spacing w:after="192" w:line="240" w:lineRule="auto"/>
        <w:rPr>
          <w:rFonts w:cs="Arial"/>
        </w:rPr>
      </w:pPr>
      <w:r w:rsidRPr="00CA36C7">
        <w:rPr>
          <w:rFonts w:cs="Arial"/>
        </w:rPr>
        <w:t xml:space="preserve">The films are approximately 20 minutes long and cover the following topics: </w:t>
      </w:r>
    </w:p>
    <w:p w:rsidR="002840A3" w:rsidRPr="00CA36C7" w:rsidRDefault="002840A3"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1. Introduction to Oil Spills</w:t>
      </w:r>
    </w:p>
    <w:p w:rsidR="002840A3" w:rsidRPr="00CA36C7" w:rsidRDefault="002840A3"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2. Aerial Surveillance</w:t>
      </w:r>
    </w:p>
    <w:p w:rsidR="002840A3" w:rsidRPr="00CA36C7" w:rsidRDefault="002840A3"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 xml:space="preserve">3. At-Sea Response </w:t>
      </w:r>
    </w:p>
    <w:p w:rsidR="000E6E1C" w:rsidRPr="00CA36C7" w:rsidRDefault="000E6E1C"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 xml:space="preserve">4. Shoreline Clean-Up </w:t>
      </w:r>
    </w:p>
    <w:p w:rsidR="002840A3" w:rsidRPr="00CA36C7" w:rsidRDefault="002840A3"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 xml:space="preserve">5. Waste Management </w:t>
      </w:r>
    </w:p>
    <w:p w:rsidR="002840A3" w:rsidRPr="00CA36C7" w:rsidRDefault="000E6E1C"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 xml:space="preserve">6. Environmental Impacts </w:t>
      </w:r>
    </w:p>
    <w:p w:rsidR="002840A3" w:rsidRPr="00CA36C7" w:rsidRDefault="002840A3" w:rsidP="00CA36C7">
      <w:pPr>
        <w:numPr>
          <w:ilvl w:val="0"/>
          <w:numId w:val="5"/>
        </w:numPr>
        <w:shd w:val="clear" w:color="auto" w:fill="FFFFFF"/>
        <w:spacing w:before="100" w:beforeAutospacing="1" w:after="100" w:afterAutospacing="1" w:line="240" w:lineRule="auto"/>
        <w:rPr>
          <w:rFonts w:eastAsia="Times New Roman" w:cs="Arial"/>
          <w:lang w:eastAsia="en-GB"/>
        </w:rPr>
      </w:pPr>
      <w:r w:rsidRPr="00CA36C7">
        <w:rPr>
          <w:rFonts w:eastAsia="Times New Roman" w:cs="Arial"/>
          <w:lang w:eastAsia="en-GB"/>
        </w:rPr>
        <w:t xml:space="preserve">7. Oil Spill Compensation </w:t>
      </w:r>
    </w:p>
    <w:p w:rsidR="002840A3" w:rsidRPr="00CA36C7" w:rsidRDefault="000E6E1C" w:rsidP="00CA36C7">
      <w:pPr>
        <w:spacing w:before="240" w:after="240" w:line="240" w:lineRule="auto"/>
        <w:rPr>
          <w:rFonts w:cs="Arial"/>
        </w:rPr>
      </w:pPr>
      <w:r w:rsidRPr="00CA36C7">
        <w:rPr>
          <w:rFonts w:cs="Arial"/>
        </w:rPr>
        <w:t>All</w:t>
      </w:r>
      <w:r w:rsidR="002840A3" w:rsidRPr="00CA36C7">
        <w:rPr>
          <w:rFonts w:cs="Arial"/>
        </w:rPr>
        <w:t xml:space="preserve"> films are </w:t>
      </w:r>
      <w:bookmarkStart w:id="0" w:name="_GoBack"/>
      <w:bookmarkEnd w:id="0"/>
      <w:r w:rsidR="002840A3" w:rsidRPr="00CA36C7">
        <w:rPr>
          <w:rFonts w:cs="Arial"/>
        </w:rPr>
        <w:t xml:space="preserve">available to view on-line from </w:t>
      </w:r>
      <w:hyperlink r:id="rId10" w:history="1">
        <w:r w:rsidR="002840A3" w:rsidRPr="00CA36C7">
          <w:rPr>
            <w:rStyle w:val="Hyperlink"/>
            <w:rFonts w:cs="Arial"/>
            <w:color w:val="auto"/>
          </w:rPr>
          <w:t xml:space="preserve">ITOPF’s </w:t>
        </w:r>
        <w:r w:rsidR="002840A3" w:rsidRPr="00CA36C7">
          <w:rPr>
            <w:rStyle w:val="Hyperlink"/>
            <w:rFonts w:cs="Arial"/>
            <w:color w:val="auto"/>
          </w:rPr>
          <w:t>w</w:t>
        </w:r>
        <w:r w:rsidR="002840A3" w:rsidRPr="00CA36C7">
          <w:rPr>
            <w:rStyle w:val="Hyperlink"/>
            <w:rFonts w:cs="Arial"/>
            <w:color w:val="auto"/>
          </w:rPr>
          <w:t>ebsite</w:t>
        </w:r>
      </w:hyperlink>
      <w:r w:rsidR="002840A3" w:rsidRPr="00CA36C7">
        <w:rPr>
          <w:rFonts w:cs="Arial"/>
        </w:rPr>
        <w:t xml:space="preserve">. </w:t>
      </w:r>
    </w:p>
    <w:p w:rsidR="002840A3" w:rsidRPr="00CA36C7" w:rsidRDefault="00CA36C7" w:rsidP="00CA36C7">
      <w:pPr>
        <w:spacing w:line="240" w:lineRule="auto"/>
        <w:rPr>
          <w:rFonts w:cs="Arial"/>
          <w:b/>
          <w:u w:val="single"/>
        </w:rPr>
      </w:pPr>
      <w:r w:rsidRPr="00CA36C7">
        <w:rPr>
          <w:lang w:val="en"/>
        </w:rPr>
        <w:t xml:space="preserve">They are also available </w:t>
      </w:r>
      <w:r w:rsidRPr="00CA36C7">
        <w:rPr>
          <w:lang w:val="en"/>
        </w:rPr>
        <w:t xml:space="preserve">as a single DVD priced £10 (including postage &amp; packing) with subtitles in English, Arabic, French, Spanish, Chinese (simplified) and Korean. </w:t>
      </w:r>
      <w:r w:rsidRPr="00CA36C7">
        <w:rPr>
          <w:lang w:val="en"/>
        </w:rPr>
        <w:t xml:space="preserve">Copies can be ordered from the </w:t>
      </w:r>
      <w:hyperlink r:id="rId11" w:history="1">
        <w:r w:rsidRPr="00CA36C7">
          <w:rPr>
            <w:rStyle w:val="Hyperlink"/>
            <w:color w:val="auto"/>
            <w:lang w:val="en"/>
          </w:rPr>
          <w:t>ITOPF websi</w:t>
        </w:r>
        <w:r w:rsidRPr="00CA36C7">
          <w:rPr>
            <w:rStyle w:val="Hyperlink"/>
            <w:color w:val="auto"/>
            <w:lang w:val="en"/>
          </w:rPr>
          <w:t>t</w:t>
        </w:r>
        <w:r w:rsidRPr="00CA36C7">
          <w:rPr>
            <w:rStyle w:val="Hyperlink"/>
            <w:color w:val="auto"/>
            <w:lang w:val="en"/>
          </w:rPr>
          <w:t>e</w:t>
        </w:r>
      </w:hyperlink>
      <w:r w:rsidRPr="00CA36C7">
        <w:rPr>
          <w:lang w:val="en"/>
        </w:rPr>
        <w:t xml:space="preserve">. </w:t>
      </w:r>
      <w:r w:rsidR="002840A3" w:rsidRPr="00CA36C7">
        <w:rPr>
          <w:rFonts w:cs="Arial"/>
          <w:b/>
          <w:u w:val="single"/>
        </w:rPr>
        <w:br w:type="page"/>
      </w:r>
    </w:p>
    <w:p w:rsidR="002840A3" w:rsidRDefault="002840A3" w:rsidP="000F2394">
      <w:pPr>
        <w:spacing w:after="0" w:line="240" w:lineRule="auto"/>
        <w:rPr>
          <w:rFonts w:cs="Arial"/>
          <w:b/>
          <w:u w:val="single"/>
        </w:rPr>
      </w:pPr>
    </w:p>
    <w:p w:rsidR="00180F21" w:rsidRPr="000F2394" w:rsidRDefault="00180F21" w:rsidP="000F2394">
      <w:pPr>
        <w:spacing w:after="0" w:line="240" w:lineRule="auto"/>
        <w:rPr>
          <w:rFonts w:cs="Arial"/>
          <w:b/>
          <w:u w:val="single"/>
        </w:rPr>
      </w:pPr>
      <w:r w:rsidRPr="000F2394">
        <w:rPr>
          <w:rFonts w:cs="Arial"/>
          <w:b/>
          <w:u w:val="single"/>
        </w:rPr>
        <w:t>ITOPF</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rPr>
          <w:rFonts w:cs="Arial"/>
        </w:rPr>
      </w:pPr>
      <w:r w:rsidRPr="000F2394">
        <w:rPr>
          <w:rFonts w:cs="Arial"/>
        </w:rPr>
        <w:t xml:space="preserve">1. The International Tanker Owners Pollution Federation Limited (ITOPF) was established as a non-profit making service organisation in 1968. In the early days its principal function was the administration of the TOVALOP voluntary oil spill compensation agreement. However, for the past forty years ITOPF has also provided a broad range of technical services in the field of marine pollution to and on behalf of shipowners, their P&amp;I insurers and other groups such as the International Oil Pollution Compensation Funds, as well as to the community at large. </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rPr>
          <w:rFonts w:cs="Arial"/>
        </w:rPr>
      </w:pPr>
      <w:r w:rsidRPr="000F2394">
        <w:rPr>
          <w:rFonts w:cs="Arial"/>
        </w:rPr>
        <w:t>2. ITOPF's Membership currently comprises some 6,3</w:t>
      </w:r>
      <w:r w:rsidR="00D41568">
        <w:rPr>
          <w:rFonts w:cs="Arial"/>
        </w:rPr>
        <w:t>5</w:t>
      </w:r>
      <w:r w:rsidRPr="000F2394">
        <w:rPr>
          <w:rFonts w:cs="Arial"/>
        </w:rPr>
        <w:t xml:space="preserve">0 owners and bareboat charterers of approximately 10,950 tank vessels with a total gross tonnage of about 340 million GT.  The organisation also benefits from the participation of </w:t>
      </w:r>
      <w:r w:rsidR="00FF7521">
        <w:rPr>
          <w:rFonts w:cs="Arial"/>
        </w:rPr>
        <w:t xml:space="preserve">721 </w:t>
      </w:r>
      <w:r w:rsidRPr="000F2394">
        <w:rPr>
          <w:rFonts w:cs="Arial"/>
        </w:rPr>
        <w:t>million GT of non-tanker tonnage owned and operated by its Associates.</w:t>
      </w:r>
    </w:p>
    <w:p w:rsidR="00180F21" w:rsidRPr="000F2394" w:rsidRDefault="00180F21" w:rsidP="000F2394">
      <w:pPr>
        <w:spacing w:after="0" w:line="240" w:lineRule="auto"/>
        <w:jc w:val="both"/>
        <w:rPr>
          <w:rFonts w:cs="Arial"/>
        </w:rPr>
      </w:pPr>
    </w:p>
    <w:p w:rsidR="00180F21" w:rsidRPr="000F2394" w:rsidRDefault="00180F21" w:rsidP="000F2394">
      <w:pPr>
        <w:spacing w:after="0" w:line="240" w:lineRule="auto"/>
        <w:jc w:val="both"/>
      </w:pPr>
      <w:r w:rsidRPr="000F2394">
        <w:rPr>
          <w:rFonts w:cs="Arial"/>
        </w:rPr>
        <w:t xml:space="preserve">3.  ITOPF's priority service is responding to accidental marine spills and the organisation's team of highly experienced technical staff are at constant readiness to travel anywhere in the world at a few </w:t>
      </w:r>
      <w:r w:rsidRPr="000F2394">
        <w:t xml:space="preserve">hours’ notice. Since 1978 ITOPF staff have attended on-site at </w:t>
      </w:r>
      <w:r w:rsidR="00A9544F">
        <w:t xml:space="preserve">over </w:t>
      </w:r>
      <w:r w:rsidRPr="000F2394">
        <w:t>700 incidents around the world, giving the organisation unparalleled practical experience of the realities of combating major marine spills. ITOPF also:</w:t>
      </w:r>
    </w:p>
    <w:p w:rsidR="00180F21" w:rsidRPr="000F2394" w:rsidRDefault="00180F21" w:rsidP="000F2394">
      <w:pPr>
        <w:spacing w:after="0" w:line="240" w:lineRule="auto"/>
        <w:jc w:val="both"/>
      </w:pPr>
    </w:p>
    <w:p w:rsidR="00180F21" w:rsidRPr="000F2394" w:rsidRDefault="00180F21" w:rsidP="000F2394">
      <w:pPr>
        <w:pStyle w:val="ListParagraph"/>
        <w:numPr>
          <w:ilvl w:val="0"/>
          <w:numId w:val="2"/>
        </w:numPr>
        <w:spacing w:after="0" w:line="240" w:lineRule="auto"/>
        <w:jc w:val="both"/>
      </w:pPr>
      <w:r w:rsidRPr="000F2394">
        <w:t xml:space="preserve">assesses the damage caused by spills to the environment and economic resources; </w:t>
      </w:r>
    </w:p>
    <w:p w:rsidR="00180F21" w:rsidRPr="000F2394" w:rsidRDefault="00180F21" w:rsidP="000F2394">
      <w:pPr>
        <w:pStyle w:val="ListParagraph"/>
        <w:numPr>
          <w:ilvl w:val="0"/>
          <w:numId w:val="2"/>
        </w:numPr>
        <w:spacing w:after="0" w:line="240" w:lineRule="auto"/>
        <w:jc w:val="both"/>
      </w:pPr>
      <w:r w:rsidRPr="000F2394">
        <w:t xml:space="preserve">provides advice on the technical merits of claims for compensation; </w:t>
      </w:r>
    </w:p>
    <w:p w:rsidR="00180F21" w:rsidRPr="000F2394" w:rsidRDefault="00180F21" w:rsidP="000F2394">
      <w:pPr>
        <w:pStyle w:val="ListParagraph"/>
        <w:numPr>
          <w:ilvl w:val="0"/>
          <w:numId w:val="2"/>
        </w:numPr>
        <w:spacing w:after="0" w:line="240" w:lineRule="auto"/>
        <w:jc w:val="both"/>
      </w:pPr>
      <w:r w:rsidRPr="000F2394">
        <w:t xml:space="preserve">conducts contingency planning, advisory and training assignments; </w:t>
      </w:r>
    </w:p>
    <w:p w:rsidR="00180F21" w:rsidRPr="000F2394" w:rsidRDefault="00180F21" w:rsidP="000F2394">
      <w:pPr>
        <w:pStyle w:val="ListParagraph"/>
        <w:numPr>
          <w:ilvl w:val="0"/>
          <w:numId w:val="2"/>
        </w:numPr>
        <w:spacing w:after="0" w:line="240" w:lineRule="auto"/>
        <w:jc w:val="both"/>
      </w:pPr>
      <w:r w:rsidRPr="000F2394">
        <w:t>produces a wide range of technical publications; and</w:t>
      </w:r>
    </w:p>
    <w:p w:rsidR="00180F21" w:rsidRPr="000F2394" w:rsidRDefault="00180F21" w:rsidP="000F2394">
      <w:pPr>
        <w:pStyle w:val="ListParagraph"/>
        <w:numPr>
          <w:ilvl w:val="0"/>
          <w:numId w:val="2"/>
        </w:numPr>
        <w:spacing w:after="0" w:line="240" w:lineRule="auto"/>
        <w:jc w:val="both"/>
      </w:pPr>
      <w:r w:rsidRPr="000F2394">
        <w:t xml:space="preserve">maintains various databases as well as a website at </w:t>
      </w:r>
      <w:hyperlink r:id="rId12" w:history="1">
        <w:r w:rsidRPr="000F2394">
          <w:rPr>
            <w:rStyle w:val="Hyperlink"/>
          </w:rPr>
          <w:t>http://www.itopf.com</w:t>
        </w:r>
      </w:hyperlink>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 xml:space="preserve">4.  </w:t>
      </w:r>
      <w:r w:rsidRPr="000F2394">
        <w:tab/>
        <w:t>For further information contact:</w:t>
      </w:r>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ab/>
      </w:r>
      <w:r w:rsidRPr="000F2394">
        <w:tab/>
        <w:t xml:space="preserve">Dr </w:t>
      </w:r>
      <w:r w:rsidR="003313B8">
        <w:t>Karen Purnell</w:t>
      </w:r>
      <w:r w:rsidRPr="000F2394">
        <w:t xml:space="preserve"> (</w:t>
      </w:r>
      <w:r w:rsidR="003313B8">
        <w:t>Managing Director</w:t>
      </w:r>
      <w:r w:rsidRPr="000F2394">
        <w:t>)</w:t>
      </w:r>
    </w:p>
    <w:p w:rsidR="00180F21" w:rsidRPr="000F2394" w:rsidRDefault="00180F21" w:rsidP="000F2394">
      <w:pPr>
        <w:spacing w:after="0" w:line="240" w:lineRule="auto"/>
        <w:ind w:left="720" w:firstLine="720"/>
        <w:jc w:val="both"/>
      </w:pPr>
      <w:r w:rsidRPr="000F2394">
        <w:t>M</w:t>
      </w:r>
      <w:r w:rsidR="00CD536D">
        <w:t xml:space="preserve">rs </w:t>
      </w:r>
      <w:r w:rsidRPr="000F2394">
        <w:t xml:space="preserve">Deborah </w:t>
      </w:r>
      <w:r w:rsidR="00CD536D">
        <w:t>McKendrick</w:t>
      </w:r>
      <w:r w:rsidRPr="000F2394">
        <w:t xml:space="preserve"> (Information Officer)</w:t>
      </w:r>
    </w:p>
    <w:p w:rsidR="00180F21" w:rsidRPr="000F2394" w:rsidRDefault="00180F21" w:rsidP="000F2394">
      <w:pPr>
        <w:spacing w:after="0" w:line="240" w:lineRule="auto"/>
        <w:jc w:val="both"/>
      </w:pPr>
      <w:r w:rsidRPr="000F2394">
        <w:tab/>
      </w:r>
      <w:r w:rsidRPr="000F2394">
        <w:tab/>
        <w:t>The International Tanker Owners Pollution Federation Limited (ITOPF)</w:t>
      </w:r>
    </w:p>
    <w:p w:rsidR="00180F21" w:rsidRPr="000F2394" w:rsidRDefault="00180F21" w:rsidP="000F2394">
      <w:pPr>
        <w:spacing w:after="0" w:line="240" w:lineRule="auto"/>
        <w:jc w:val="both"/>
      </w:pPr>
      <w:r w:rsidRPr="000F2394">
        <w:tab/>
      </w:r>
      <w:r w:rsidRPr="000F2394">
        <w:tab/>
        <w:t>1 Oliver’s Yard, 55 City Road, London EC1Y 1HQ</w:t>
      </w:r>
    </w:p>
    <w:p w:rsidR="00180F21" w:rsidRPr="000F2394" w:rsidRDefault="00180F21" w:rsidP="000F2394">
      <w:pPr>
        <w:spacing w:after="0" w:line="240" w:lineRule="auto"/>
        <w:jc w:val="both"/>
      </w:pPr>
    </w:p>
    <w:p w:rsidR="00180F21" w:rsidRPr="000F2394" w:rsidRDefault="00180F21" w:rsidP="000F2394">
      <w:pPr>
        <w:spacing w:after="0" w:line="240" w:lineRule="auto"/>
        <w:jc w:val="both"/>
      </w:pPr>
      <w:r w:rsidRPr="000F2394">
        <w:tab/>
      </w:r>
      <w:r w:rsidRPr="000F2394">
        <w:tab/>
        <w:t>Tel:  +44 (0)20 7566 6999</w:t>
      </w:r>
    </w:p>
    <w:p w:rsidR="00180F21" w:rsidRPr="000F2394" w:rsidRDefault="00180F21" w:rsidP="000F2394">
      <w:pPr>
        <w:spacing w:after="0" w:line="240" w:lineRule="auto"/>
        <w:jc w:val="both"/>
        <w:rPr>
          <w:rFonts w:cs="Arial"/>
        </w:rPr>
      </w:pPr>
      <w:r w:rsidRPr="000F2394">
        <w:rPr>
          <w:rFonts w:cs="Arial"/>
        </w:rPr>
        <w:tab/>
      </w:r>
      <w:r w:rsidRPr="000F2394">
        <w:rPr>
          <w:rFonts w:cs="Arial"/>
        </w:rPr>
        <w:tab/>
        <w:t>Fax: +44 (0)20 7566 6950</w:t>
      </w:r>
    </w:p>
    <w:p w:rsidR="00180F21" w:rsidRPr="000F2394" w:rsidRDefault="00CD536D" w:rsidP="00180F21">
      <w:pPr>
        <w:spacing w:after="0" w:line="240" w:lineRule="auto"/>
        <w:jc w:val="both"/>
        <w:rPr>
          <w:rFonts w:cs="Arial"/>
        </w:rPr>
      </w:pPr>
      <w:r>
        <w:rPr>
          <w:rFonts w:cs="Arial"/>
        </w:rPr>
        <w:tab/>
      </w:r>
      <w:r>
        <w:rPr>
          <w:rFonts w:cs="Arial"/>
        </w:rPr>
        <w:tab/>
        <w:t xml:space="preserve">Email: </w:t>
      </w:r>
      <w:hyperlink r:id="rId13" w:history="1">
        <w:r w:rsidRPr="009475AC">
          <w:rPr>
            <w:rStyle w:val="Hyperlink"/>
            <w:rFonts w:cs="Arial"/>
          </w:rPr>
          <w:t>deborahmckendrick@itopf.com</w:t>
        </w:r>
      </w:hyperlink>
    </w:p>
    <w:p w:rsidR="00833D7E" w:rsidRPr="000F2394" w:rsidRDefault="00180F21" w:rsidP="000F2394">
      <w:pPr>
        <w:spacing w:after="0" w:line="240" w:lineRule="auto"/>
        <w:jc w:val="both"/>
        <w:rPr>
          <w:rFonts w:cs="Tahoma"/>
          <w:b/>
          <w:u w:val="single"/>
        </w:rPr>
      </w:pPr>
      <w:r w:rsidRPr="000F2394">
        <w:rPr>
          <w:rFonts w:cs="Arial"/>
        </w:rPr>
        <w:tab/>
      </w:r>
      <w:r w:rsidRPr="000F2394">
        <w:rPr>
          <w:rFonts w:cs="Arial"/>
        </w:rPr>
        <w:tab/>
        <w:t xml:space="preserve">Web: </w:t>
      </w:r>
      <w:hyperlink r:id="rId14" w:history="1">
        <w:r w:rsidRPr="000F2394">
          <w:rPr>
            <w:rStyle w:val="Hyperlink"/>
            <w:rFonts w:cs="Arial"/>
          </w:rPr>
          <w:t>www.itopf.com</w:t>
        </w:r>
      </w:hyperlink>
      <w:r w:rsidRPr="000F2394">
        <w:rPr>
          <w:rFonts w:cs="Arial"/>
        </w:rPr>
        <w:tab/>
      </w:r>
    </w:p>
    <w:sectPr w:rsidR="00833D7E" w:rsidRPr="000F2394" w:rsidSect="002B4BAF">
      <w:headerReference w:type="even" r:id="rId15"/>
      <w:headerReference w:type="default" r:id="rId16"/>
      <w:footerReference w:type="even" r:id="rId17"/>
      <w:footerReference w:type="default" r:id="rId18"/>
      <w:pgSz w:w="11907" w:h="16839" w:code="9"/>
      <w:pgMar w:top="1021" w:right="1440" w:bottom="1021" w:left="144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59" w:rsidRDefault="004E5A59" w:rsidP="0095076F">
      <w:pPr>
        <w:spacing w:after="0" w:line="240" w:lineRule="auto"/>
      </w:pPr>
      <w:r>
        <w:separator/>
      </w:r>
    </w:p>
  </w:endnote>
  <w:endnote w:type="continuationSeparator" w:id="0">
    <w:p w:rsidR="004E5A59" w:rsidRDefault="004E5A59" w:rsidP="009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panose1 w:val="020B0402020204020303"/>
    <w:charset w:val="00"/>
    <w:family w:val="swiss"/>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1D6A4D" w:rsidRDefault="00E93D77" w:rsidP="00ED37D6">
    <w:pPr>
      <w:pStyle w:val="Footer"/>
      <w:pBdr>
        <w:top w:val="single" w:sz="2" w:space="5" w:color="019069"/>
      </w:pBdr>
      <w:tabs>
        <w:tab w:val="clear" w:pos="4513"/>
        <w:tab w:val="left" w:pos="142"/>
      </w:tabs>
    </w:pPr>
    <w:r>
      <w:t>ITOPF 201</w:t>
    </w:r>
    <w:r w:rsidR="00621C58">
      <w:t>4</w:t>
    </w:r>
  </w:p>
  <w:p w:rsidR="00E93D77" w:rsidRDefault="00E9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77" w:rsidRPr="001D6A4D" w:rsidRDefault="00E93D77" w:rsidP="00181ECA">
    <w:pPr>
      <w:pStyle w:val="Footer"/>
      <w:pBdr>
        <w:top w:val="single" w:sz="2" w:space="5" w:color="019069"/>
      </w:pBdr>
      <w:tabs>
        <w:tab w:val="clear" w:pos="4513"/>
        <w:tab w:val="left" w:pos="142"/>
      </w:tabs>
    </w:pPr>
    <w:r>
      <w:t>ITOPF 201</w:t>
    </w:r>
    <w:r w:rsidR="00621C58">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59" w:rsidRDefault="004E5A59" w:rsidP="0095076F">
      <w:pPr>
        <w:spacing w:after="0" w:line="240" w:lineRule="auto"/>
      </w:pPr>
      <w:r>
        <w:separator/>
      </w:r>
    </w:p>
  </w:footnote>
  <w:footnote w:type="continuationSeparator" w:id="0">
    <w:p w:rsidR="004E5A59" w:rsidRDefault="004E5A59" w:rsidP="00950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1C" w:rsidRPr="0021725B" w:rsidRDefault="002943E1" w:rsidP="000E6E1C">
    <w:pPr>
      <w:spacing w:after="0"/>
      <w:jc w:val="right"/>
      <w:rPr>
        <w:b/>
        <w:color w:val="005B9C"/>
        <w:sz w:val="32"/>
        <w:szCs w:val="32"/>
      </w:rPr>
    </w:pPr>
    <w:r>
      <w:rPr>
        <w:b/>
        <w:color w:val="005B9C"/>
        <w:sz w:val="32"/>
        <w:szCs w:val="32"/>
      </w:rPr>
      <w:t xml:space="preserve">ITOPF </w:t>
    </w:r>
    <w:r w:rsidR="00CB2CD6">
      <w:rPr>
        <w:b/>
        <w:color w:val="005B9C"/>
        <w:sz w:val="32"/>
        <w:szCs w:val="32"/>
      </w:rPr>
      <w:t>Wins Gold Stevie Award</w:t>
    </w:r>
  </w:p>
  <w:p w:rsidR="00E93D77" w:rsidRPr="004B53B3" w:rsidRDefault="0053619F" w:rsidP="000E6E1C">
    <w:pPr>
      <w:rPr>
        <w:color w:val="005A9C"/>
        <w:sz w:val="32"/>
        <w:szCs w:val="32"/>
      </w:rPr>
    </w:pPr>
    <w:r>
      <w:rPr>
        <w:noProof/>
        <w:color w:val="005A9C"/>
        <w:sz w:val="32"/>
        <w:szCs w:val="32"/>
        <w:lang w:val="en-GB"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134620</wp:posOffset>
              </wp:positionV>
              <wp:extent cx="5708650" cy="0"/>
              <wp:effectExtent l="6350" t="10795" r="952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257CB" id="_x0000_t32" coordsize="21600,21600" o:spt="32" o:oned="t" path="m,l21600,21600e" filled="f">
              <v:path arrowok="t" fillok="f" o:connecttype="none"/>
              <o:lock v:ext="edit" shapetype="t"/>
            </v:shapetype>
            <v:shape id="AutoShape 4" o:spid="_x0000_s1026" type="#_x0000_t32" style="position:absolute;margin-left:2pt;margin-top:10.6pt;width:4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" strokecolor="#00b05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12" w:space="0" w:color="00A886"/>
        <w:right w:val="none" w:sz="0" w:space="0" w:color="auto"/>
      </w:tblBorders>
      <w:tblLook w:val="04A0" w:firstRow="1" w:lastRow="0" w:firstColumn="1" w:lastColumn="0" w:noHBand="0" w:noVBand="1"/>
    </w:tblPr>
    <w:tblGrid>
      <w:gridCol w:w="9027"/>
    </w:tblGrid>
    <w:tr w:rsidR="00E93D77" w:rsidRPr="00CD77F2" w:rsidTr="004B53B3">
      <w:tc>
        <w:tcPr>
          <w:tcW w:w="9243" w:type="dxa"/>
        </w:tcPr>
        <w:p w:rsidR="00E93D77" w:rsidRPr="00CD77F2" w:rsidRDefault="00E93D77" w:rsidP="004B53B3">
          <w:pPr>
            <w:pStyle w:val="Header"/>
            <w:rPr>
              <w:rFonts w:ascii="Franklin Gothic Book" w:hAnsi="Franklin Gothic Book"/>
              <w:b/>
              <w:sz w:val="72"/>
              <w:szCs w:val="72"/>
            </w:rPr>
          </w:pPr>
          <w:r>
            <w:rPr>
              <w:rFonts w:ascii="Franklin Gothic Book" w:hAnsi="Franklin Gothic Book"/>
              <w:b/>
              <w:noProof/>
              <w:sz w:val="72"/>
              <w:szCs w:val="72"/>
              <w:lang w:val="en-GB" w:eastAsia="en-GB"/>
            </w:rPr>
            <w:drawing>
              <wp:inline distT="0" distB="0" distL="0" distR="0">
                <wp:extent cx="1479550" cy="463550"/>
                <wp:effectExtent l="19050" t="0" r="6350" b="0"/>
                <wp:docPr id="7" name="Picture 0" descr="ITOPF Logo (provided by Martin Bar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OPF Logo (provided by Martin Barr) copy.jpg"/>
                        <pic:cNvPicPr/>
                      </pic:nvPicPr>
                      <pic:blipFill>
                        <a:blip r:embed="rId1"/>
                        <a:stretch>
                          <a:fillRect/>
                        </a:stretch>
                      </pic:blipFill>
                      <pic:spPr>
                        <a:xfrm>
                          <a:off x="0" y="0"/>
                          <a:ext cx="1479550" cy="463550"/>
                        </a:xfrm>
                        <a:prstGeom prst="rect">
                          <a:avLst/>
                        </a:prstGeom>
                      </pic:spPr>
                    </pic:pic>
                  </a:graphicData>
                </a:graphic>
              </wp:inline>
            </w:drawing>
          </w:r>
          <w:r w:rsidR="008136C2">
            <w:rPr>
              <w:rFonts w:ascii="Franklin Gothic Book" w:hAnsi="Franklin Gothic Book"/>
              <w:b/>
              <w:noProof/>
              <w:sz w:val="72"/>
              <w:szCs w:val="72"/>
              <w:lang w:val="en-GB" w:eastAsia="en-GB"/>
            </w:rPr>
            <w:t xml:space="preserve">         </w:t>
          </w:r>
          <w:r>
            <w:rPr>
              <w:rFonts w:ascii="Franklin Gothic Book" w:hAnsi="Franklin Gothic Book"/>
              <w:b/>
              <w:noProof/>
              <w:sz w:val="72"/>
              <w:szCs w:val="72"/>
              <w:lang w:val="en-GB" w:eastAsia="en-GB"/>
            </w:rPr>
            <w:t xml:space="preserve"> </w:t>
          </w:r>
          <w:r w:rsidRPr="00C56C11">
            <w:rPr>
              <w:rFonts w:cstheme="minorHAnsi"/>
              <w:b/>
              <w:noProof/>
              <w:color w:val="005A9C"/>
              <w:sz w:val="72"/>
              <w:szCs w:val="72"/>
              <w:lang w:val="en-GB" w:eastAsia="en-GB"/>
            </w:rPr>
            <w:t>PRESS RELEASE</w:t>
          </w:r>
        </w:p>
      </w:tc>
    </w:tr>
  </w:tbl>
  <w:p w:rsidR="00E93D77" w:rsidRDefault="00E93D77" w:rsidP="0036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A5A1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A7A786D"/>
    <w:multiLevelType w:val="hybridMultilevel"/>
    <w:tmpl w:val="236E8768"/>
    <w:lvl w:ilvl="0" w:tplc="9FC4BD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234C5E"/>
    <w:multiLevelType w:val="hybridMultilevel"/>
    <w:tmpl w:val="F2321EB2"/>
    <w:lvl w:ilvl="0" w:tplc="175A30F4">
      <w:start w:val="1"/>
      <w:numFmt w:val="decimal"/>
      <w:lvlText w:val="%1."/>
      <w:lvlJc w:val="left"/>
      <w:pPr>
        <w:ind w:left="720" w:hanging="360"/>
      </w:pPr>
      <w:rPr>
        <w:rFonts w:hint="default"/>
        <w:color w:val="00A8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D4549E"/>
    <w:multiLevelType w:val="multilevel"/>
    <w:tmpl w:val="CF88472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CD5968"/>
    <w:multiLevelType w:val="hybridMultilevel"/>
    <w:tmpl w:val="8A7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F6"/>
    <w:rsid w:val="00000CAC"/>
    <w:rsid w:val="0000139D"/>
    <w:rsid w:val="00030A5A"/>
    <w:rsid w:val="000606E9"/>
    <w:rsid w:val="00062391"/>
    <w:rsid w:val="00070BD4"/>
    <w:rsid w:val="00070DCA"/>
    <w:rsid w:val="00075302"/>
    <w:rsid w:val="00076AE5"/>
    <w:rsid w:val="00080BB0"/>
    <w:rsid w:val="0008441D"/>
    <w:rsid w:val="000A0821"/>
    <w:rsid w:val="000A46F1"/>
    <w:rsid w:val="000B59D8"/>
    <w:rsid w:val="000C6A4E"/>
    <w:rsid w:val="000D6EFE"/>
    <w:rsid w:val="000E064D"/>
    <w:rsid w:val="000E5D0A"/>
    <w:rsid w:val="000E6E1C"/>
    <w:rsid w:val="000F2394"/>
    <w:rsid w:val="000F5854"/>
    <w:rsid w:val="000F680F"/>
    <w:rsid w:val="000F765E"/>
    <w:rsid w:val="00122E89"/>
    <w:rsid w:val="00125C19"/>
    <w:rsid w:val="00127286"/>
    <w:rsid w:val="00180F21"/>
    <w:rsid w:val="00181470"/>
    <w:rsid w:val="00181ECA"/>
    <w:rsid w:val="00190656"/>
    <w:rsid w:val="001A2A57"/>
    <w:rsid w:val="001A7AA5"/>
    <w:rsid w:val="001F74CD"/>
    <w:rsid w:val="001F77D1"/>
    <w:rsid w:val="001F7AFC"/>
    <w:rsid w:val="0020253D"/>
    <w:rsid w:val="002137C3"/>
    <w:rsid w:val="0021725B"/>
    <w:rsid w:val="0021754C"/>
    <w:rsid w:val="00231687"/>
    <w:rsid w:val="00247041"/>
    <w:rsid w:val="00250C0B"/>
    <w:rsid w:val="0025263C"/>
    <w:rsid w:val="00276602"/>
    <w:rsid w:val="0027672C"/>
    <w:rsid w:val="002840A3"/>
    <w:rsid w:val="002943E1"/>
    <w:rsid w:val="002B40BF"/>
    <w:rsid w:val="002B4BAF"/>
    <w:rsid w:val="002F74AC"/>
    <w:rsid w:val="003211C0"/>
    <w:rsid w:val="003239A7"/>
    <w:rsid w:val="003313B8"/>
    <w:rsid w:val="00333433"/>
    <w:rsid w:val="00362234"/>
    <w:rsid w:val="00363256"/>
    <w:rsid w:val="00380443"/>
    <w:rsid w:val="00387E0E"/>
    <w:rsid w:val="0039163E"/>
    <w:rsid w:val="003A0707"/>
    <w:rsid w:val="003A56D8"/>
    <w:rsid w:val="003B4C09"/>
    <w:rsid w:val="003D29BE"/>
    <w:rsid w:val="003D7695"/>
    <w:rsid w:val="004060F4"/>
    <w:rsid w:val="0040702F"/>
    <w:rsid w:val="00412923"/>
    <w:rsid w:val="00422DF1"/>
    <w:rsid w:val="004420F5"/>
    <w:rsid w:val="00453DA1"/>
    <w:rsid w:val="004628FC"/>
    <w:rsid w:val="0046572F"/>
    <w:rsid w:val="0046596F"/>
    <w:rsid w:val="004659B6"/>
    <w:rsid w:val="0047008B"/>
    <w:rsid w:val="004A7F8C"/>
    <w:rsid w:val="004B53B3"/>
    <w:rsid w:val="004C6195"/>
    <w:rsid w:val="004E5A59"/>
    <w:rsid w:val="00505E24"/>
    <w:rsid w:val="00512BC6"/>
    <w:rsid w:val="0052045E"/>
    <w:rsid w:val="0053619F"/>
    <w:rsid w:val="00543CE8"/>
    <w:rsid w:val="005561AC"/>
    <w:rsid w:val="00556B34"/>
    <w:rsid w:val="00575F80"/>
    <w:rsid w:val="0058048D"/>
    <w:rsid w:val="00586E51"/>
    <w:rsid w:val="00587D0B"/>
    <w:rsid w:val="005B6418"/>
    <w:rsid w:val="005C31EC"/>
    <w:rsid w:val="005C359E"/>
    <w:rsid w:val="005D42AA"/>
    <w:rsid w:val="005E0A17"/>
    <w:rsid w:val="00621C58"/>
    <w:rsid w:val="00621E74"/>
    <w:rsid w:val="00624746"/>
    <w:rsid w:val="00636E3F"/>
    <w:rsid w:val="00640759"/>
    <w:rsid w:val="00653351"/>
    <w:rsid w:val="0066110D"/>
    <w:rsid w:val="00683346"/>
    <w:rsid w:val="006A7F43"/>
    <w:rsid w:val="006C2F75"/>
    <w:rsid w:val="006E46CB"/>
    <w:rsid w:val="007014A6"/>
    <w:rsid w:val="00703905"/>
    <w:rsid w:val="00707402"/>
    <w:rsid w:val="00716E2C"/>
    <w:rsid w:val="00737094"/>
    <w:rsid w:val="00761107"/>
    <w:rsid w:val="007626C1"/>
    <w:rsid w:val="00765808"/>
    <w:rsid w:val="007667D7"/>
    <w:rsid w:val="00773E7D"/>
    <w:rsid w:val="00785483"/>
    <w:rsid w:val="00793FA9"/>
    <w:rsid w:val="007B40E7"/>
    <w:rsid w:val="007B50DB"/>
    <w:rsid w:val="007C1393"/>
    <w:rsid w:val="007C1A41"/>
    <w:rsid w:val="007C43B2"/>
    <w:rsid w:val="007D257B"/>
    <w:rsid w:val="007D31F6"/>
    <w:rsid w:val="007E3875"/>
    <w:rsid w:val="007F6170"/>
    <w:rsid w:val="008136C2"/>
    <w:rsid w:val="00824EEC"/>
    <w:rsid w:val="0083313E"/>
    <w:rsid w:val="00833D7E"/>
    <w:rsid w:val="00846234"/>
    <w:rsid w:val="00890C23"/>
    <w:rsid w:val="0089159B"/>
    <w:rsid w:val="00891F2F"/>
    <w:rsid w:val="00895C3F"/>
    <w:rsid w:val="00896C25"/>
    <w:rsid w:val="008A1050"/>
    <w:rsid w:val="008B71E8"/>
    <w:rsid w:val="008C0A5F"/>
    <w:rsid w:val="008C0F6E"/>
    <w:rsid w:val="008C1BA7"/>
    <w:rsid w:val="008D61AF"/>
    <w:rsid w:val="008D6E77"/>
    <w:rsid w:val="00903B7C"/>
    <w:rsid w:val="009126B7"/>
    <w:rsid w:val="009265C4"/>
    <w:rsid w:val="009352CB"/>
    <w:rsid w:val="00935D85"/>
    <w:rsid w:val="009475AC"/>
    <w:rsid w:val="0095076F"/>
    <w:rsid w:val="00956B77"/>
    <w:rsid w:val="00957699"/>
    <w:rsid w:val="00966C3A"/>
    <w:rsid w:val="00977002"/>
    <w:rsid w:val="00980361"/>
    <w:rsid w:val="00982F73"/>
    <w:rsid w:val="0098466C"/>
    <w:rsid w:val="00986071"/>
    <w:rsid w:val="009A0C6A"/>
    <w:rsid w:val="009A4477"/>
    <w:rsid w:val="009C267A"/>
    <w:rsid w:val="009F256D"/>
    <w:rsid w:val="009F7155"/>
    <w:rsid w:val="00A01028"/>
    <w:rsid w:val="00A111AA"/>
    <w:rsid w:val="00A2192E"/>
    <w:rsid w:val="00A21BD7"/>
    <w:rsid w:val="00A32403"/>
    <w:rsid w:val="00A55273"/>
    <w:rsid w:val="00A5545C"/>
    <w:rsid w:val="00A57D12"/>
    <w:rsid w:val="00A9544F"/>
    <w:rsid w:val="00A96EB8"/>
    <w:rsid w:val="00AA28B2"/>
    <w:rsid w:val="00AA67D6"/>
    <w:rsid w:val="00AC4E77"/>
    <w:rsid w:val="00AC7C7C"/>
    <w:rsid w:val="00AF0560"/>
    <w:rsid w:val="00AF7045"/>
    <w:rsid w:val="00B10CA9"/>
    <w:rsid w:val="00B16E3B"/>
    <w:rsid w:val="00B31476"/>
    <w:rsid w:val="00B733E0"/>
    <w:rsid w:val="00B9031C"/>
    <w:rsid w:val="00BA5DE0"/>
    <w:rsid w:val="00BD5D91"/>
    <w:rsid w:val="00C05E48"/>
    <w:rsid w:val="00C10CDE"/>
    <w:rsid w:val="00C17651"/>
    <w:rsid w:val="00C56C11"/>
    <w:rsid w:val="00C64114"/>
    <w:rsid w:val="00C65309"/>
    <w:rsid w:val="00C67202"/>
    <w:rsid w:val="00CA36C7"/>
    <w:rsid w:val="00CB2CD6"/>
    <w:rsid w:val="00CD536D"/>
    <w:rsid w:val="00CD77F2"/>
    <w:rsid w:val="00CE1134"/>
    <w:rsid w:val="00CF2221"/>
    <w:rsid w:val="00CF7614"/>
    <w:rsid w:val="00D151CB"/>
    <w:rsid w:val="00D1635E"/>
    <w:rsid w:val="00D2280E"/>
    <w:rsid w:val="00D360F9"/>
    <w:rsid w:val="00D41568"/>
    <w:rsid w:val="00D504C4"/>
    <w:rsid w:val="00D50B1D"/>
    <w:rsid w:val="00D654F0"/>
    <w:rsid w:val="00D87135"/>
    <w:rsid w:val="00D96127"/>
    <w:rsid w:val="00E227AC"/>
    <w:rsid w:val="00E34C55"/>
    <w:rsid w:val="00E40D6A"/>
    <w:rsid w:val="00E41C7F"/>
    <w:rsid w:val="00E42ADB"/>
    <w:rsid w:val="00E85042"/>
    <w:rsid w:val="00E93D77"/>
    <w:rsid w:val="00EA0670"/>
    <w:rsid w:val="00EB09CC"/>
    <w:rsid w:val="00EC1A3D"/>
    <w:rsid w:val="00ED2884"/>
    <w:rsid w:val="00ED37D6"/>
    <w:rsid w:val="00EE4FC0"/>
    <w:rsid w:val="00EF02CA"/>
    <w:rsid w:val="00EF4534"/>
    <w:rsid w:val="00F25319"/>
    <w:rsid w:val="00F31C2A"/>
    <w:rsid w:val="00F54205"/>
    <w:rsid w:val="00F5503C"/>
    <w:rsid w:val="00F573E7"/>
    <w:rsid w:val="00F86FBD"/>
    <w:rsid w:val="00F9429F"/>
    <w:rsid w:val="00FB3C04"/>
    <w:rsid w:val="00FB54C7"/>
    <w:rsid w:val="00FB79D4"/>
    <w:rsid w:val="00FF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71D965-0F93-4F8D-98CD-2851E1C6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F6"/>
  </w:style>
  <w:style w:type="paragraph" w:styleId="Heading2">
    <w:name w:val="heading 2"/>
    <w:basedOn w:val="Normal"/>
    <w:next w:val="Normal"/>
    <w:link w:val="Heading2Char"/>
    <w:qFormat/>
    <w:rsid w:val="003313B8"/>
    <w:pPr>
      <w:keepNext/>
      <w:spacing w:after="0" w:line="240" w:lineRule="auto"/>
      <w:jc w:val="center"/>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F6"/>
    <w:rPr>
      <w:color w:val="00A786"/>
      <w:u w:val="single"/>
    </w:rPr>
  </w:style>
  <w:style w:type="paragraph" w:styleId="BalloonText">
    <w:name w:val="Balloon Text"/>
    <w:basedOn w:val="Normal"/>
    <w:link w:val="BalloonTextChar"/>
    <w:uiPriority w:val="99"/>
    <w:semiHidden/>
    <w:unhideWhenUsed/>
    <w:rsid w:val="007D3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F6"/>
    <w:rPr>
      <w:rFonts w:ascii="Tahoma" w:hAnsi="Tahoma" w:cs="Tahoma"/>
      <w:sz w:val="16"/>
      <w:szCs w:val="16"/>
    </w:rPr>
  </w:style>
  <w:style w:type="paragraph" w:styleId="NormalWeb">
    <w:name w:val="Normal (Web)"/>
    <w:basedOn w:val="Normal"/>
    <w:uiPriority w:val="99"/>
    <w:unhideWhenUsed/>
    <w:rsid w:val="00A2192E"/>
    <w:pPr>
      <w:spacing w:before="192" w:after="192"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A55273"/>
    <w:rPr>
      <w:sz w:val="16"/>
      <w:szCs w:val="16"/>
    </w:rPr>
  </w:style>
  <w:style w:type="paragraph" w:styleId="CommentText">
    <w:name w:val="annotation text"/>
    <w:basedOn w:val="Normal"/>
    <w:link w:val="CommentTextChar"/>
    <w:uiPriority w:val="99"/>
    <w:semiHidden/>
    <w:unhideWhenUsed/>
    <w:rsid w:val="00A55273"/>
    <w:pPr>
      <w:spacing w:line="240" w:lineRule="auto"/>
    </w:pPr>
    <w:rPr>
      <w:sz w:val="20"/>
      <w:szCs w:val="20"/>
    </w:rPr>
  </w:style>
  <w:style w:type="character" w:customStyle="1" w:styleId="CommentTextChar">
    <w:name w:val="Comment Text Char"/>
    <w:basedOn w:val="DefaultParagraphFont"/>
    <w:link w:val="CommentText"/>
    <w:uiPriority w:val="99"/>
    <w:semiHidden/>
    <w:rsid w:val="00A55273"/>
    <w:rPr>
      <w:sz w:val="20"/>
      <w:szCs w:val="20"/>
    </w:rPr>
  </w:style>
  <w:style w:type="paragraph" w:styleId="CommentSubject">
    <w:name w:val="annotation subject"/>
    <w:basedOn w:val="CommentText"/>
    <w:next w:val="CommentText"/>
    <w:link w:val="CommentSubjectChar"/>
    <w:uiPriority w:val="99"/>
    <w:semiHidden/>
    <w:unhideWhenUsed/>
    <w:rsid w:val="00A55273"/>
    <w:rPr>
      <w:b/>
      <w:bCs/>
    </w:rPr>
  </w:style>
  <w:style w:type="character" w:customStyle="1" w:styleId="CommentSubjectChar">
    <w:name w:val="Comment Subject Char"/>
    <w:basedOn w:val="CommentTextChar"/>
    <w:link w:val="CommentSubject"/>
    <w:uiPriority w:val="99"/>
    <w:semiHidden/>
    <w:rsid w:val="00A55273"/>
    <w:rPr>
      <w:b/>
      <w:bCs/>
      <w:sz w:val="20"/>
      <w:szCs w:val="20"/>
    </w:rPr>
  </w:style>
  <w:style w:type="paragraph" w:styleId="Revision">
    <w:name w:val="Revision"/>
    <w:hidden/>
    <w:uiPriority w:val="99"/>
    <w:semiHidden/>
    <w:rsid w:val="00A55273"/>
    <w:pPr>
      <w:spacing w:after="0" w:line="240" w:lineRule="auto"/>
    </w:pPr>
  </w:style>
  <w:style w:type="paragraph" w:styleId="Header">
    <w:name w:val="header"/>
    <w:basedOn w:val="Normal"/>
    <w:link w:val="HeaderChar"/>
    <w:unhideWhenUsed/>
    <w:rsid w:val="0095076F"/>
    <w:pPr>
      <w:tabs>
        <w:tab w:val="center" w:pos="4513"/>
        <w:tab w:val="right" w:pos="9026"/>
      </w:tabs>
      <w:spacing w:after="0" w:line="240" w:lineRule="auto"/>
    </w:pPr>
  </w:style>
  <w:style w:type="character" w:customStyle="1" w:styleId="HeaderChar">
    <w:name w:val="Header Char"/>
    <w:basedOn w:val="DefaultParagraphFont"/>
    <w:link w:val="Header"/>
    <w:rsid w:val="0095076F"/>
  </w:style>
  <w:style w:type="paragraph" w:styleId="Footer">
    <w:name w:val="footer"/>
    <w:basedOn w:val="Normal"/>
    <w:link w:val="FooterChar"/>
    <w:uiPriority w:val="99"/>
    <w:unhideWhenUsed/>
    <w:rsid w:val="00950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76F"/>
  </w:style>
  <w:style w:type="character" w:styleId="PageNumber">
    <w:name w:val="page number"/>
    <w:basedOn w:val="DefaultParagraphFont"/>
    <w:rsid w:val="007626C1"/>
  </w:style>
  <w:style w:type="paragraph" w:styleId="Caption">
    <w:name w:val="caption"/>
    <w:basedOn w:val="Normal"/>
    <w:next w:val="Normal"/>
    <w:uiPriority w:val="35"/>
    <w:unhideWhenUsed/>
    <w:qFormat/>
    <w:rsid w:val="007626C1"/>
    <w:pPr>
      <w:spacing w:line="240" w:lineRule="auto"/>
    </w:pPr>
    <w:rPr>
      <w:b/>
      <w:bCs/>
      <w:color w:val="4F81BD" w:themeColor="accent1"/>
      <w:sz w:val="18"/>
      <w:szCs w:val="18"/>
    </w:rPr>
  </w:style>
  <w:style w:type="paragraph" w:styleId="BodyText">
    <w:name w:val="Body Text"/>
    <w:basedOn w:val="Normal"/>
    <w:link w:val="BodyTextChar"/>
    <w:uiPriority w:val="99"/>
    <w:rsid w:val="003B4C09"/>
    <w:pPr>
      <w:spacing w:after="0" w:line="240" w:lineRule="auto"/>
      <w:jc w:val="both"/>
    </w:pPr>
    <w:rPr>
      <w:rFonts w:ascii="Futura Lt BT" w:eastAsia="Times New Roman" w:hAnsi="Futura Lt BT" w:cs="Times New Roman"/>
      <w:sz w:val="24"/>
      <w:szCs w:val="20"/>
      <w:lang w:val="en-GB"/>
    </w:rPr>
  </w:style>
  <w:style w:type="character" w:customStyle="1" w:styleId="BodyTextChar">
    <w:name w:val="Body Text Char"/>
    <w:basedOn w:val="DefaultParagraphFont"/>
    <w:link w:val="BodyText"/>
    <w:uiPriority w:val="99"/>
    <w:rsid w:val="003B4C09"/>
    <w:rPr>
      <w:rFonts w:ascii="Futura Lt BT" w:eastAsia="Times New Roman" w:hAnsi="Futura Lt BT" w:cs="Times New Roman"/>
      <w:sz w:val="24"/>
      <w:szCs w:val="20"/>
      <w:lang w:val="en-GB"/>
    </w:rPr>
  </w:style>
  <w:style w:type="paragraph" w:styleId="ListParagraph">
    <w:name w:val="List Paragraph"/>
    <w:basedOn w:val="Normal"/>
    <w:uiPriority w:val="34"/>
    <w:qFormat/>
    <w:rsid w:val="00CD77F2"/>
    <w:pPr>
      <w:ind w:left="720"/>
      <w:contextualSpacing/>
    </w:pPr>
  </w:style>
  <w:style w:type="table" w:styleId="TableGrid">
    <w:name w:val="Table Grid"/>
    <w:basedOn w:val="TableNormal"/>
    <w:uiPriority w:val="59"/>
    <w:rsid w:val="00CD7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Justified">
    <w:name w:val="Style Justified"/>
    <w:basedOn w:val="Normal"/>
    <w:rsid w:val="00076AE5"/>
    <w:pPr>
      <w:spacing w:after="0" w:line="240" w:lineRule="auto"/>
      <w:jc w:val="both"/>
    </w:pPr>
    <w:rPr>
      <w:rFonts w:ascii="Calibri" w:eastAsia="Times New Roman" w:hAnsi="Calibri" w:cs="Times New Roman"/>
      <w:b/>
      <w:color w:val="000000"/>
      <w:kern w:val="28"/>
      <w:sz w:val="20"/>
      <w:szCs w:val="20"/>
      <w:lang w:val="en-GB" w:eastAsia="en-GB"/>
    </w:rPr>
  </w:style>
  <w:style w:type="character" w:styleId="FollowedHyperlink">
    <w:name w:val="FollowedHyperlink"/>
    <w:basedOn w:val="DefaultParagraphFont"/>
    <w:uiPriority w:val="99"/>
    <w:semiHidden/>
    <w:unhideWhenUsed/>
    <w:rsid w:val="00AF0560"/>
    <w:rPr>
      <w:color w:val="800080" w:themeColor="followedHyperlink"/>
      <w:u w:val="single"/>
    </w:rPr>
  </w:style>
  <w:style w:type="paragraph" w:styleId="PlainText">
    <w:name w:val="Plain Text"/>
    <w:basedOn w:val="Normal"/>
    <w:link w:val="PlainTextChar"/>
    <w:uiPriority w:val="99"/>
    <w:unhideWhenUsed/>
    <w:rsid w:val="00621C5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621C58"/>
    <w:rPr>
      <w:rFonts w:ascii="Calibri" w:hAnsi="Calibri"/>
      <w:szCs w:val="21"/>
      <w:lang w:val="en-GB"/>
    </w:rPr>
  </w:style>
  <w:style w:type="character" w:styleId="Strong">
    <w:name w:val="Strong"/>
    <w:basedOn w:val="DefaultParagraphFont"/>
    <w:uiPriority w:val="22"/>
    <w:qFormat/>
    <w:rsid w:val="00BA5DE0"/>
    <w:rPr>
      <w:b/>
      <w:bCs/>
    </w:rPr>
  </w:style>
  <w:style w:type="character" w:customStyle="1" w:styleId="Heading2Char">
    <w:name w:val="Heading 2 Char"/>
    <w:basedOn w:val="DefaultParagraphFont"/>
    <w:link w:val="Heading2"/>
    <w:rsid w:val="003313B8"/>
    <w:rPr>
      <w:rFonts w:ascii="Times New Roman" w:eastAsia="Times New Roman" w:hAnsi="Times New Roman" w:cs="Times New Roman"/>
      <w:b/>
      <w:bCs/>
      <w:i/>
      <w:iCs/>
      <w:sz w:val="24"/>
      <w:szCs w:val="24"/>
    </w:rPr>
  </w:style>
  <w:style w:type="character" w:customStyle="1" w:styleId="xn-person">
    <w:name w:val="xn-person"/>
    <w:rsid w:val="003313B8"/>
  </w:style>
  <w:style w:type="character" w:customStyle="1" w:styleId="xn-location">
    <w:name w:val="xn-location"/>
    <w:rsid w:val="0033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1143">
      <w:bodyDiv w:val="1"/>
      <w:marLeft w:val="0"/>
      <w:marRight w:val="0"/>
      <w:marTop w:val="0"/>
      <w:marBottom w:val="450"/>
      <w:divBdr>
        <w:top w:val="none" w:sz="0" w:space="0" w:color="auto"/>
        <w:left w:val="none" w:sz="0" w:space="0" w:color="auto"/>
        <w:bottom w:val="none" w:sz="0" w:space="0" w:color="auto"/>
        <w:right w:val="none" w:sz="0" w:space="0" w:color="auto"/>
      </w:divBdr>
      <w:divsChild>
        <w:div w:id="102576402">
          <w:marLeft w:val="0"/>
          <w:marRight w:val="0"/>
          <w:marTop w:val="0"/>
          <w:marBottom w:val="0"/>
          <w:divBdr>
            <w:top w:val="none" w:sz="0" w:space="0" w:color="auto"/>
            <w:left w:val="none" w:sz="0" w:space="0" w:color="auto"/>
            <w:bottom w:val="none" w:sz="0" w:space="0" w:color="auto"/>
            <w:right w:val="none" w:sz="0" w:space="0" w:color="auto"/>
          </w:divBdr>
          <w:divsChild>
            <w:div w:id="738946806">
              <w:marLeft w:val="0"/>
              <w:marRight w:val="0"/>
              <w:marTop w:val="240"/>
              <w:marBottom w:val="0"/>
              <w:divBdr>
                <w:top w:val="none" w:sz="0" w:space="0" w:color="auto"/>
                <w:left w:val="none" w:sz="0" w:space="0" w:color="auto"/>
                <w:bottom w:val="none" w:sz="0" w:space="0" w:color="auto"/>
                <w:right w:val="none" w:sz="0" w:space="0" w:color="auto"/>
              </w:divBdr>
              <w:divsChild>
                <w:div w:id="214206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6908">
      <w:bodyDiv w:val="1"/>
      <w:marLeft w:val="0"/>
      <w:marRight w:val="0"/>
      <w:marTop w:val="0"/>
      <w:marBottom w:val="450"/>
      <w:divBdr>
        <w:top w:val="none" w:sz="0" w:space="0" w:color="auto"/>
        <w:left w:val="none" w:sz="0" w:space="0" w:color="auto"/>
        <w:bottom w:val="none" w:sz="0" w:space="0" w:color="auto"/>
        <w:right w:val="none" w:sz="0" w:space="0" w:color="auto"/>
      </w:divBdr>
      <w:divsChild>
        <w:div w:id="1047028683">
          <w:marLeft w:val="0"/>
          <w:marRight w:val="0"/>
          <w:marTop w:val="0"/>
          <w:marBottom w:val="0"/>
          <w:divBdr>
            <w:top w:val="none" w:sz="0" w:space="0" w:color="auto"/>
            <w:left w:val="none" w:sz="0" w:space="0" w:color="auto"/>
            <w:bottom w:val="none" w:sz="0" w:space="0" w:color="auto"/>
            <w:right w:val="none" w:sz="0" w:space="0" w:color="auto"/>
          </w:divBdr>
          <w:divsChild>
            <w:div w:id="178011732">
              <w:marLeft w:val="0"/>
              <w:marRight w:val="0"/>
              <w:marTop w:val="240"/>
              <w:marBottom w:val="0"/>
              <w:divBdr>
                <w:top w:val="none" w:sz="0" w:space="0" w:color="auto"/>
                <w:left w:val="none" w:sz="0" w:space="0" w:color="auto"/>
                <w:bottom w:val="none" w:sz="0" w:space="0" w:color="auto"/>
                <w:right w:val="none" w:sz="0" w:space="0" w:color="auto"/>
              </w:divBdr>
              <w:divsChild>
                <w:div w:id="6828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TimL\AppData\Local\Microsoft\Windows\Temporary%20Internet%20Files\Content.Outlook\4P0O0I7H\deborahmckendrick@itopf.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opf.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opf.com/knowledge-resources/library/response-to-marine-oil-spills-dv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opf.com/knowledge-resources/library/video-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evieAwards.com/IBA" TargetMode="External"/><Relationship Id="rId14" Type="http://schemas.openxmlformats.org/officeDocument/2006/relationships/hyperlink" Target="http://www.itop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EF0D-9262-4965-AB1D-AB36010A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ITOPF Ltd</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Musk</dc:creator>
  <cp:lastModifiedBy>Deborah Ansell</cp:lastModifiedBy>
  <cp:revision>3</cp:revision>
  <cp:lastPrinted>2014-08-19T09:21:00Z</cp:lastPrinted>
  <dcterms:created xsi:type="dcterms:W3CDTF">2014-08-19T09:03:00Z</dcterms:created>
  <dcterms:modified xsi:type="dcterms:W3CDTF">2014-08-19T09:26:00Z</dcterms:modified>
</cp:coreProperties>
</file>