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0A" w:rsidRPr="00D41568" w:rsidRDefault="000E5D0A" w:rsidP="00D41568">
      <w:pPr>
        <w:spacing w:before="120" w:line="360" w:lineRule="auto"/>
        <w:jc w:val="center"/>
        <w:rPr>
          <w:sz w:val="40"/>
          <w:szCs w:val="40"/>
        </w:rPr>
      </w:pPr>
      <w:r w:rsidRPr="00D41568">
        <w:rPr>
          <w:sz w:val="40"/>
          <w:szCs w:val="40"/>
        </w:rPr>
        <w:t>Euronav Chief becomes Chairman of ITOPF</w:t>
      </w:r>
    </w:p>
    <w:p w:rsidR="000E5D0A" w:rsidRDefault="000E5D0A" w:rsidP="000E5D0A">
      <w:pPr>
        <w:spacing w:line="360" w:lineRule="auto"/>
        <w:jc w:val="center"/>
        <w:rPr>
          <w:rFonts w:ascii="Verdana" w:hAnsi="Verdana"/>
          <w:sz w:val="17"/>
          <w:szCs w:val="17"/>
          <w:lang w:eastAsia="en-GB"/>
        </w:rPr>
      </w:pPr>
      <w:r>
        <w:rPr>
          <w:rFonts w:ascii="Verdana" w:hAnsi="Verdana"/>
          <w:noProof/>
          <w:sz w:val="17"/>
          <w:szCs w:val="17"/>
          <w:lang w:val="en-GB" w:eastAsia="en-GB"/>
        </w:rPr>
        <w:drawing>
          <wp:inline distT="0" distB="0" distL="0" distR="0">
            <wp:extent cx="2334986" cy="303711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dyRodg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986" cy="3037114"/>
                    </a:xfrm>
                    <a:prstGeom prst="rect">
                      <a:avLst/>
                    </a:prstGeom>
                  </pic:spPr>
                </pic:pic>
              </a:graphicData>
            </a:graphic>
          </wp:inline>
        </w:drawing>
      </w:r>
    </w:p>
    <w:p w:rsidR="000E5D0A" w:rsidRDefault="000E5D0A" w:rsidP="000E5D0A">
      <w:pPr>
        <w:spacing w:line="360" w:lineRule="auto"/>
        <w:jc w:val="both"/>
        <w:rPr>
          <w:rFonts w:ascii="Verdana" w:hAnsi="Verdana"/>
          <w:sz w:val="17"/>
          <w:szCs w:val="17"/>
          <w:lang w:eastAsia="en-GB"/>
        </w:rPr>
      </w:pPr>
    </w:p>
    <w:p w:rsidR="000E5D0A" w:rsidRPr="000E5D0A" w:rsidRDefault="000E5D0A" w:rsidP="000E5D0A">
      <w:pPr>
        <w:spacing w:after="0" w:line="360" w:lineRule="auto"/>
        <w:jc w:val="both"/>
        <w:rPr>
          <w:sz w:val="24"/>
          <w:szCs w:val="24"/>
        </w:rPr>
      </w:pPr>
      <w:r w:rsidRPr="000E5D0A">
        <w:rPr>
          <w:sz w:val="24"/>
          <w:szCs w:val="24"/>
        </w:rPr>
        <w:t>ITOPF is delighted to announce that Mr Paddy Rodgers, CEO of Euronav will become ITOPF’s Chairman on 31</w:t>
      </w:r>
      <w:r w:rsidRPr="000E5D0A">
        <w:rPr>
          <w:sz w:val="24"/>
          <w:szCs w:val="24"/>
          <w:vertAlign w:val="superscript"/>
        </w:rPr>
        <w:t>st</w:t>
      </w:r>
      <w:r w:rsidRPr="000E5D0A">
        <w:rPr>
          <w:sz w:val="24"/>
          <w:szCs w:val="24"/>
        </w:rPr>
        <w:t xml:space="preserve"> March, following Ms Hanne Sørensen’s move to Damco.</w:t>
      </w:r>
    </w:p>
    <w:p w:rsidR="000E5D0A" w:rsidRPr="000E5D0A" w:rsidRDefault="000E5D0A" w:rsidP="000E5D0A">
      <w:pPr>
        <w:spacing w:after="0" w:line="360" w:lineRule="auto"/>
        <w:jc w:val="both"/>
        <w:rPr>
          <w:sz w:val="24"/>
          <w:szCs w:val="24"/>
        </w:rPr>
      </w:pPr>
    </w:p>
    <w:p w:rsidR="000E5D0A" w:rsidRPr="000E5D0A" w:rsidRDefault="000E5D0A" w:rsidP="000E5D0A">
      <w:pPr>
        <w:spacing w:after="0" w:line="360" w:lineRule="auto"/>
        <w:jc w:val="both"/>
        <w:rPr>
          <w:sz w:val="24"/>
          <w:szCs w:val="24"/>
        </w:rPr>
      </w:pPr>
      <w:r w:rsidRPr="000E5D0A">
        <w:rPr>
          <w:sz w:val="24"/>
          <w:szCs w:val="24"/>
        </w:rPr>
        <w:t xml:space="preserve">Mr Rodgers has extensive experience in law and shipping and has been with the independent tanker owner, Euronav, for almost 20 years, the last 13 as its CEO. In this position, Mr Rodgers is responsible for ensuring that Euronav’s modern fleet of FSOs, VLCCs, Suezmax vessels and a ULCC operate safely and with due regard to environmental protection. </w:t>
      </w:r>
    </w:p>
    <w:p w:rsidR="000E5D0A" w:rsidRPr="000E5D0A" w:rsidRDefault="000E5D0A" w:rsidP="000E5D0A">
      <w:pPr>
        <w:autoSpaceDE w:val="0"/>
        <w:autoSpaceDN w:val="0"/>
        <w:spacing w:after="0" w:line="360" w:lineRule="auto"/>
        <w:jc w:val="both"/>
        <w:rPr>
          <w:sz w:val="24"/>
          <w:szCs w:val="24"/>
        </w:rPr>
      </w:pPr>
    </w:p>
    <w:p w:rsidR="000E5D0A" w:rsidRDefault="000E5D0A" w:rsidP="000E5D0A">
      <w:pPr>
        <w:autoSpaceDE w:val="0"/>
        <w:autoSpaceDN w:val="0"/>
        <w:spacing w:after="0" w:line="360" w:lineRule="auto"/>
        <w:jc w:val="both"/>
        <w:rPr>
          <w:sz w:val="24"/>
          <w:szCs w:val="24"/>
        </w:rPr>
      </w:pPr>
      <w:r w:rsidRPr="000E5D0A">
        <w:rPr>
          <w:sz w:val="24"/>
          <w:szCs w:val="24"/>
        </w:rPr>
        <w:t xml:space="preserve">Responding to his appointment, Mr Rodgers stated </w:t>
      </w:r>
      <w:r>
        <w:rPr>
          <w:sz w:val="24"/>
          <w:szCs w:val="24"/>
        </w:rPr>
        <w:t>“</w:t>
      </w:r>
      <w:r w:rsidRPr="000E5D0A">
        <w:rPr>
          <w:sz w:val="24"/>
          <w:szCs w:val="24"/>
        </w:rPr>
        <w:t>it is an honour to accept this opportunity to be part of such an interesting and dynamic team. It is vital that the industry engages with ITOPF’s work not just financially but also with active support.</w:t>
      </w:r>
      <w:r>
        <w:rPr>
          <w:sz w:val="24"/>
          <w:szCs w:val="24"/>
        </w:rPr>
        <w:t>”</w:t>
      </w:r>
    </w:p>
    <w:p w:rsidR="000E5D0A" w:rsidRDefault="000E5D0A" w:rsidP="000E5D0A">
      <w:pPr>
        <w:autoSpaceDE w:val="0"/>
        <w:autoSpaceDN w:val="0"/>
        <w:spacing w:after="0" w:line="360" w:lineRule="auto"/>
        <w:jc w:val="both"/>
        <w:rPr>
          <w:sz w:val="24"/>
          <w:szCs w:val="24"/>
        </w:rPr>
      </w:pPr>
    </w:p>
    <w:p w:rsidR="000E5D0A" w:rsidRDefault="000E5D0A" w:rsidP="000E5D0A">
      <w:pPr>
        <w:autoSpaceDE w:val="0"/>
        <w:autoSpaceDN w:val="0"/>
        <w:spacing w:after="0" w:line="360" w:lineRule="auto"/>
        <w:jc w:val="both"/>
        <w:rPr>
          <w:sz w:val="24"/>
          <w:szCs w:val="24"/>
        </w:rPr>
      </w:pPr>
    </w:p>
    <w:p w:rsidR="000E5D0A" w:rsidRDefault="000E5D0A" w:rsidP="000E5D0A">
      <w:pPr>
        <w:autoSpaceDE w:val="0"/>
        <w:autoSpaceDN w:val="0"/>
        <w:spacing w:after="0" w:line="360" w:lineRule="auto"/>
        <w:jc w:val="both"/>
        <w:rPr>
          <w:sz w:val="24"/>
          <w:szCs w:val="24"/>
        </w:rPr>
      </w:pPr>
    </w:p>
    <w:p w:rsidR="000E5D0A" w:rsidRPr="000E5D0A" w:rsidRDefault="000E5D0A" w:rsidP="000E5D0A">
      <w:pPr>
        <w:autoSpaceDE w:val="0"/>
        <w:autoSpaceDN w:val="0"/>
        <w:spacing w:after="0" w:line="360" w:lineRule="auto"/>
        <w:jc w:val="both"/>
        <w:rPr>
          <w:sz w:val="24"/>
          <w:szCs w:val="24"/>
        </w:rPr>
      </w:pPr>
    </w:p>
    <w:p w:rsidR="000F2394" w:rsidRDefault="000F2394" w:rsidP="000F2394">
      <w:pPr>
        <w:pStyle w:val="PlainText"/>
        <w:rPr>
          <w:rFonts w:cs="Tahoma"/>
          <w:sz w:val="20"/>
          <w:szCs w:val="20"/>
        </w:rPr>
      </w:pPr>
    </w:p>
    <w:p w:rsidR="000E5D0A" w:rsidRPr="000E5D0A" w:rsidRDefault="000E5D0A" w:rsidP="000E5D0A">
      <w:pPr>
        <w:jc w:val="right"/>
        <w:rPr>
          <w:rFonts w:cs="Tahoma"/>
        </w:rPr>
      </w:pPr>
      <w:r w:rsidRPr="000E5D0A">
        <w:rPr>
          <w:rFonts w:cs="Tahoma"/>
        </w:rPr>
        <w:t>31</w:t>
      </w:r>
      <w:r w:rsidRPr="000E5D0A">
        <w:rPr>
          <w:rFonts w:cs="Tahoma"/>
          <w:vertAlign w:val="superscript"/>
        </w:rPr>
        <w:t>st</w:t>
      </w:r>
      <w:r w:rsidRPr="000E5D0A">
        <w:rPr>
          <w:rFonts w:cs="Tahoma"/>
        </w:rPr>
        <w:t xml:space="preserve"> March 2014</w:t>
      </w:r>
      <w:r w:rsidR="000F2394" w:rsidRPr="000E5D0A">
        <w:rPr>
          <w:rFonts w:cs="Tahoma"/>
        </w:rPr>
        <w:br w:type="page"/>
      </w:r>
    </w:p>
    <w:p w:rsidR="000E5D0A" w:rsidRDefault="000E5D0A" w:rsidP="000F2394">
      <w:pPr>
        <w:rPr>
          <w:rFonts w:cs="Tahoma"/>
          <w:b/>
          <w:sz w:val="28"/>
          <w:szCs w:val="28"/>
          <w:u w:val="single"/>
        </w:rPr>
      </w:pPr>
    </w:p>
    <w:p w:rsidR="00180F21" w:rsidRPr="000F2394" w:rsidRDefault="00180F21" w:rsidP="000F2394">
      <w:pPr>
        <w:rPr>
          <w:rFonts w:cs="Tahoma"/>
          <w:b/>
          <w:sz w:val="28"/>
          <w:szCs w:val="28"/>
          <w:u w:val="single"/>
        </w:rPr>
      </w:pPr>
      <w:r w:rsidRPr="000F2394">
        <w:rPr>
          <w:rFonts w:cs="Tahoma"/>
          <w:b/>
          <w:sz w:val="28"/>
          <w:szCs w:val="28"/>
          <w:u w:val="single"/>
        </w:rPr>
        <w:t>Notes for Editors:</w:t>
      </w:r>
    </w:p>
    <w:p w:rsidR="00180F21" w:rsidRPr="000F2394" w:rsidRDefault="00180F21" w:rsidP="000F2394">
      <w:pPr>
        <w:spacing w:after="0" w:line="240" w:lineRule="auto"/>
        <w:rPr>
          <w:rFonts w:cs="Arial"/>
          <w:b/>
          <w:u w:val="single"/>
        </w:rPr>
      </w:pPr>
      <w:r w:rsidRPr="000F2394">
        <w:rPr>
          <w:rFonts w:cs="Arial"/>
          <w:b/>
          <w:u w:val="single"/>
        </w:rPr>
        <w:t>ITOPF</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forty years ITOPF has also provided a broad range of technical services in the field of marine pollution to and on behalf of shipowners, their P&amp;I insurers and other groups such as the International Oil Pollution Compensation Funds, as well as to the community at large. </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rPr>
          <w:rFonts w:cs="Arial"/>
        </w:rPr>
      </w:pPr>
      <w:r w:rsidRPr="000F2394">
        <w:rPr>
          <w:rFonts w:cs="Arial"/>
        </w:rPr>
        <w:t>2. ITOPF's Membership currently comprises some 6,3</w:t>
      </w:r>
      <w:r w:rsidR="00D41568">
        <w:rPr>
          <w:rFonts w:cs="Arial"/>
        </w:rPr>
        <w:t>5</w:t>
      </w:r>
      <w:r w:rsidRPr="000F2394">
        <w:rPr>
          <w:rFonts w:cs="Arial"/>
        </w:rPr>
        <w:t xml:space="preserve">0 owners and bareboat charterers of approximately 10,950 tank vessels with a total gross tonnage of about 340 million GT.  The organisation also benefits from the participation of </w:t>
      </w:r>
      <w:r w:rsidR="00FF7521">
        <w:rPr>
          <w:rFonts w:cs="Arial"/>
        </w:rPr>
        <w:t xml:space="preserve">721 </w:t>
      </w:r>
      <w:r w:rsidRPr="000F2394">
        <w:rPr>
          <w:rFonts w:cs="Arial"/>
        </w:rPr>
        <w:t>million GT of non-tanker tonnage owned and operated by its Associates.</w:t>
      </w:r>
    </w:p>
    <w:p w:rsidR="00180F21" w:rsidRPr="000F2394" w:rsidRDefault="00180F21" w:rsidP="000F2394">
      <w:pPr>
        <w:spacing w:after="0" w:line="240" w:lineRule="auto"/>
        <w:jc w:val="both"/>
        <w:rPr>
          <w:rFonts w:cs="Arial"/>
        </w:rPr>
      </w:pPr>
    </w:p>
    <w:p w:rsidR="00180F21" w:rsidRPr="000F2394" w:rsidRDefault="00180F21" w:rsidP="000F2394">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w:t>
      </w:r>
      <w:bookmarkStart w:id="0" w:name="_GoBack"/>
      <w:bookmarkEnd w:id="0"/>
      <w:r w:rsidRPr="000F2394">
        <w:rPr>
          <w:rFonts w:cs="Arial"/>
        </w:rPr>
        <w:t xml:space="preserve">few </w:t>
      </w:r>
      <w:r w:rsidRPr="000F2394">
        <w:t xml:space="preserve">hours’ notice. Since 1978 ITOPF staff have attended on-site at </w:t>
      </w:r>
      <w:r w:rsidR="00A9544F">
        <w:t xml:space="preserve">over </w:t>
      </w:r>
      <w:r w:rsidRPr="000F2394">
        <w:t>700 incidents around the world, giving the organisation unparalleled practical experience of the realities of combating major marine spills. ITOPF also:</w:t>
      </w:r>
    </w:p>
    <w:p w:rsidR="00180F21" w:rsidRPr="000F2394" w:rsidRDefault="00180F21" w:rsidP="000F2394">
      <w:pPr>
        <w:spacing w:after="0" w:line="240" w:lineRule="auto"/>
        <w:jc w:val="both"/>
      </w:pPr>
    </w:p>
    <w:p w:rsidR="00180F21" w:rsidRPr="000F2394" w:rsidRDefault="00180F21" w:rsidP="000F2394">
      <w:pPr>
        <w:pStyle w:val="ListParagraph"/>
        <w:numPr>
          <w:ilvl w:val="0"/>
          <w:numId w:val="2"/>
        </w:numPr>
        <w:spacing w:after="0" w:line="240" w:lineRule="auto"/>
        <w:jc w:val="both"/>
      </w:pPr>
      <w:r w:rsidRPr="000F2394">
        <w:t xml:space="preserve">assesses the damage caused by spills to the environment and economic resources; </w:t>
      </w:r>
    </w:p>
    <w:p w:rsidR="00180F21" w:rsidRPr="000F2394" w:rsidRDefault="00180F21" w:rsidP="000F2394">
      <w:pPr>
        <w:pStyle w:val="ListParagraph"/>
        <w:numPr>
          <w:ilvl w:val="0"/>
          <w:numId w:val="2"/>
        </w:numPr>
        <w:spacing w:after="0" w:line="240" w:lineRule="auto"/>
        <w:jc w:val="both"/>
      </w:pPr>
      <w:r w:rsidRPr="000F2394">
        <w:t xml:space="preserve">provides advice on the technical merits of claims for compensation; </w:t>
      </w:r>
    </w:p>
    <w:p w:rsidR="00180F21" w:rsidRPr="000F2394" w:rsidRDefault="00180F21" w:rsidP="000F2394">
      <w:pPr>
        <w:pStyle w:val="ListParagraph"/>
        <w:numPr>
          <w:ilvl w:val="0"/>
          <w:numId w:val="2"/>
        </w:numPr>
        <w:spacing w:after="0" w:line="240" w:lineRule="auto"/>
        <w:jc w:val="both"/>
      </w:pPr>
      <w:r w:rsidRPr="000F2394">
        <w:t xml:space="preserve">conducts contingency planning, advisory and training assignments; </w:t>
      </w:r>
    </w:p>
    <w:p w:rsidR="00180F21" w:rsidRPr="000F2394" w:rsidRDefault="00180F21" w:rsidP="000F2394">
      <w:pPr>
        <w:pStyle w:val="ListParagraph"/>
        <w:numPr>
          <w:ilvl w:val="0"/>
          <w:numId w:val="2"/>
        </w:numPr>
        <w:spacing w:after="0" w:line="240" w:lineRule="auto"/>
        <w:jc w:val="both"/>
      </w:pPr>
      <w:r w:rsidRPr="000F2394">
        <w:t>produces a wide range of technical publications; and</w:t>
      </w:r>
    </w:p>
    <w:p w:rsidR="00180F21" w:rsidRPr="000F2394" w:rsidRDefault="00180F21" w:rsidP="000F2394">
      <w:pPr>
        <w:pStyle w:val="ListParagraph"/>
        <w:numPr>
          <w:ilvl w:val="0"/>
          <w:numId w:val="2"/>
        </w:numPr>
        <w:spacing w:after="0" w:line="240" w:lineRule="auto"/>
        <w:jc w:val="both"/>
      </w:pPr>
      <w:r w:rsidRPr="000F2394">
        <w:t xml:space="preserve">maintains various databases as well as a website at </w:t>
      </w:r>
      <w:hyperlink r:id="rId9" w:history="1">
        <w:r w:rsidRPr="000F2394">
          <w:rPr>
            <w:rStyle w:val="Hyperlink"/>
          </w:rPr>
          <w:t>http://www.itopf.com</w:t>
        </w:r>
      </w:hyperlink>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 xml:space="preserve">4.  </w:t>
      </w:r>
      <w:r w:rsidRPr="000F2394">
        <w:tab/>
        <w:t>For further information contact:</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 xml:space="preserve">Dr </w:t>
      </w:r>
      <w:r w:rsidR="000E5D0A">
        <w:t>Karen Purnell</w:t>
      </w:r>
      <w:r w:rsidRPr="000F2394">
        <w:t xml:space="preserve"> (</w:t>
      </w:r>
      <w:r w:rsidR="000E5D0A">
        <w:t>Managing Dire</w:t>
      </w:r>
      <w:r w:rsidRPr="000F2394">
        <w:t>ctor)</w:t>
      </w:r>
    </w:p>
    <w:p w:rsidR="00180F21" w:rsidRPr="000F2394" w:rsidRDefault="00180F21" w:rsidP="000F2394">
      <w:pPr>
        <w:spacing w:after="0" w:line="240" w:lineRule="auto"/>
        <w:ind w:left="720" w:firstLine="720"/>
        <w:jc w:val="both"/>
      </w:pPr>
      <w:r w:rsidRPr="000F2394">
        <w:t>Miss Deborah Ansell (Information Officer)</w:t>
      </w:r>
    </w:p>
    <w:p w:rsidR="00180F21" w:rsidRPr="000F2394" w:rsidRDefault="00180F21" w:rsidP="000F2394">
      <w:pPr>
        <w:spacing w:after="0" w:line="240" w:lineRule="auto"/>
        <w:jc w:val="both"/>
      </w:pPr>
      <w:r w:rsidRPr="000F2394">
        <w:tab/>
      </w:r>
      <w:r w:rsidRPr="000F2394">
        <w:tab/>
        <w:t>The International Tanker Owners Pollution Federation Limited (ITOPF)</w:t>
      </w:r>
    </w:p>
    <w:p w:rsidR="00180F21" w:rsidRPr="000F2394" w:rsidRDefault="00180F21" w:rsidP="000F2394">
      <w:pPr>
        <w:spacing w:after="0" w:line="240" w:lineRule="auto"/>
        <w:jc w:val="both"/>
      </w:pPr>
      <w:r w:rsidRPr="000F2394">
        <w:tab/>
      </w:r>
      <w:r w:rsidRPr="000F2394">
        <w:tab/>
        <w:t>1 Oliver’s Yard, 55 City Road, London EC1Y 1HQ</w:t>
      </w:r>
    </w:p>
    <w:p w:rsidR="00180F21" w:rsidRPr="000F2394" w:rsidRDefault="00180F21" w:rsidP="000F2394">
      <w:pPr>
        <w:spacing w:after="0" w:line="240" w:lineRule="auto"/>
        <w:jc w:val="both"/>
      </w:pPr>
    </w:p>
    <w:p w:rsidR="00180F21" w:rsidRPr="000F2394" w:rsidRDefault="00180F21" w:rsidP="000F2394">
      <w:pPr>
        <w:spacing w:after="0" w:line="240" w:lineRule="auto"/>
        <w:jc w:val="both"/>
      </w:pPr>
      <w:r w:rsidRPr="000F2394">
        <w:tab/>
      </w:r>
      <w:r w:rsidRPr="000F2394">
        <w:tab/>
        <w:t>Tel:  +44 (0)20 7566 6999</w:t>
      </w:r>
    </w:p>
    <w:p w:rsidR="00180F21" w:rsidRPr="000F2394" w:rsidRDefault="00180F21" w:rsidP="000F2394">
      <w:pPr>
        <w:spacing w:after="0" w:line="240" w:lineRule="auto"/>
        <w:jc w:val="both"/>
        <w:rPr>
          <w:rFonts w:cs="Arial"/>
        </w:rPr>
      </w:pPr>
      <w:r w:rsidRPr="000F2394">
        <w:rPr>
          <w:rFonts w:cs="Arial"/>
        </w:rPr>
        <w:tab/>
      </w:r>
      <w:r w:rsidRPr="000F2394">
        <w:rPr>
          <w:rFonts w:cs="Arial"/>
        </w:rPr>
        <w:tab/>
        <w:t>Fax: +44 (0)20 7566 6950</w:t>
      </w:r>
    </w:p>
    <w:p w:rsidR="00180F21" w:rsidRPr="000F2394" w:rsidRDefault="00180F21" w:rsidP="00180F21">
      <w:pPr>
        <w:spacing w:after="0" w:line="240" w:lineRule="auto"/>
        <w:jc w:val="both"/>
        <w:rPr>
          <w:rFonts w:cs="Arial"/>
        </w:rPr>
      </w:pPr>
      <w:r w:rsidRPr="000F2394">
        <w:rPr>
          <w:rFonts w:cs="Arial"/>
        </w:rPr>
        <w:tab/>
      </w:r>
      <w:r w:rsidRPr="000F2394">
        <w:rPr>
          <w:rFonts w:cs="Arial"/>
        </w:rPr>
        <w:tab/>
        <w:t xml:space="preserve">Email: </w:t>
      </w:r>
      <w:hyperlink r:id="rId10" w:history="1">
        <w:r w:rsidRPr="000F2394">
          <w:rPr>
            <w:rStyle w:val="Hyperlink"/>
            <w:rFonts w:cs="Arial"/>
          </w:rPr>
          <w:t>deborahansell@itopf.com</w:t>
        </w:r>
      </w:hyperlink>
    </w:p>
    <w:p w:rsidR="00833D7E" w:rsidRPr="000F2394" w:rsidRDefault="00180F21" w:rsidP="000F2394">
      <w:pPr>
        <w:spacing w:after="0" w:line="240" w:lineRule="auto"/>
        <w:jc w:val="both"/>
        <w:rPr>
          <w:rFonts w:cs="Tahoma"/>
          <w:b/>
          <w:u w:val="single"/>
        </w:rPr>
      </w:pPr>
      <w:r w:rsidRPr="000F2394">
        <w:rPr>
          <w:rFonts w:cs="Arial"/>
        </w:rPr>
        <w:tab/>
      </w:r>
      <w:r w:rsidRPr="000F2394">
        <w:rPr>
          <w:rFonts w:cs="Arial"/>
        </w:rPr>
        <w:tab/>
        <w:t xml:space="preserve">Web: </w:t>
      </w:r>
      <w:hyperlink r:id="rId11" w:history="1">
        <w:r w:rsidRPr="000F2394">
          <w:rPr>
            <w:rStyle w:val="Hyperlink"/>
            <w:rFonts w:cs="Arial"/>
          </w:rPr>
          <w:t>www.itopf.com</w:t>
        </w:r>
      </w:hyperlink>
      <w:r w:rsidRPr="000F2394">
        <w:rPr>
          <w:rFonts w:cs="Arial"/>
        </w:rPr>
        <w:tab/>
      </w:r>
    </w:p>
    <w:sectPr w:rsidR="00833D7E" w:rsidRPr="000F2394" w:rsidSect="002B4BAF">
      <w:headerReference w:type="even" r:id="rId12"/>
      <w:headerReference w:type="default" r:id="rId13"/>
      <w:footerReference w:type="even" r:id="rId14"/>
      <w:footerReference w:type="default" r:id="rId15"/>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D77" w:rsidRDefault="00E93D77" w:rsidP="0095076F">
      <w:pPr>
        <w:spacing w:after="0" w:line="240" w:lineRule="auto"/>
      </w:pPr>
      <w:r>
        <w:separator/>
      </w:r>
    </w:p>
  </w:endnote>
  <w:endnote w:type="continuationSeparator" w:id="0">
    <w:p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ED37D6">
    <w:pPr>
      <w:pStyle w:val="Footer"/>
      <w:pBdr>
        <w:top w:val="single" w:sz="2" w:space="5" w:color="019069"/>
      </w:pBdr>
      <w:tabs>
        <w:tab w:val="clear" w:pos="4513"/>
        <w:tab w:val="left" w:pos="142"/>
      </w:tabs>
    </w:pPr>
    <w:r>
      <w:t>ITOPF 201</w:t>
    </w:r>
    <w:r w:rsidR="00621C58">
      <w:t>4</w:t>
    </w:r>
  </w:p>
  <w:p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1D6A4D" w:rsidRDefault="00E93D77" w:rsidP="00181ECA">
    <w:pPr>
      <w:pStyle w:val="Footer"/>
      <w:pBdr>
        <w:top w:val="single" w:sz="2" w:space="5" w:color="019069"/>
      </w:pBdr>
      <w:tabs>
        <w:tab w:val="clear" w:pos="4513"/>
        <w:tab w:val="left" w:pos="142"/>
      </w:tabs>
    </w:pPr>
    <w:r>
      <w:t>ITOPF 201</w:t>
    </w:r>
    <w:r w:rsidR="00621C58">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D77" w:rsidRDefault="00E93D77" w:rsidP="0095076F">
      <w:pPr>
        <w:spacing w:after="0" w:line="240" w:lineRule="auto"/>
      </w:pPr>
      <w:r>
        <w:separator/>
      </w:r>
    </w:p>
  </w:footnote>
  <w:footnote w:type="continuationSeparator" w:id="0">
    <w:p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77" w:rsidRPr="008C1BA7" w:rsidRDefault="000E5D0A" w:rsidP="008C1BA7">
    <w:pPr>
      <w:pStyle w:val="NormalWeb"/>
      <w:shd w:val="clear" w:color="auto" w:fill="FFFFFF"/>
      <w:tabs>
        <w:tab w:val="left" w:pos="7938"/>
      </w:tabs>
      <w:spacing w:before="0" w:after="0"/>
      <w:jc w:val="right"/>
      <w:rPr>
        <w:color w:val="005A9C"/>
        <w:sz w:val="32"/>
        <w:szCs w:val="32"/>
      </w:rPr>
    </w:pPr>
    <w:proofErr w:type="spellStart"/>
    <w:r>
      <w:rPr>
        <w:rFonts w:asciiTheme="minorHAnsi" w:hAnsiTheme="minorHAnsi" w:cs="Tahoma"/>
        <w:b/>
        <w:color w:val="005A9C"/>
        <w:sz w:val="34"/>
        <w:szCs w:val="34"/>
      </w:rPr>
      <w:t>Euronav</w:t>
    </w:r>
    <w:proofErr w:type="spellEnd"/>
    <w:r>
      <w:rPr>
        <w:rFonts w:asciiTheme="minorHAnsi" w:hAnsiTheme="minorHAnsi" w:cs="Tahoma"/>
        <w:b/>
        <w:color w:val="005A9C"/>
        <w:sz w:val="34"/>
        <w:szCs w:val="34"/>
      </w:rPr>
      <w:t xml:space="preserve"> Chief becomes Chairman of ITOPF</w:t>
    </w:r>
  </w:p>
  <w:p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rsidTr="004B53B3">
      <w:tc>
        <w:tcPr>
          <w:tcW w:w="9243" w:type="dxa"/>
        </w:tcPr>
        <w:p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30A5A"/>
    <w:rsid w:val="000606E9"/>
    <w:rsid w:val="00062391"/>
    <w:rsid w:val="00070BD4"/>
    <w:rsid w:val="00070DCA"/>
    <w:rsid w:val="00075302"/>
    <w:rsid w:val="00076AE5"/>
    <w:rsid w:val="00080BB0"/>
    <w:rsid w:val="0008441D"/>
    <w:rsid w:val="000A0821"/>
    <w:rsid w:val="000A46F1"/>
    <w:rsid w:val="000B59D8"/>
    <w:rsid w:val="000C6A4E"/>
    <w:rsid w:val="000D6EFE"/>
    <w:rsid w:val="000E064D"/>
    <w:rsid w:val="000E5D0A"/>
    <w:rsid w:val="000F2394"/>
    <w:rsid w:val="000F5854"/>
    <w:rsid w:val="000F680F"/>
    <w:rsid w:val="000F765E"/>
    <w:rsid w:val="00122E89"/>
    <w:rsid w:val="00125C19"/>
    <w:rsid w:val="00127286"/>
    <w:rsid w:val="00180F21"/>
    <w:rsid w:val="00181470"/>
    <w:rsid w:val="00181ECA"/>
    <w:rsid w:val="00190656"/>
    <w:rsid w:val="001A2A57"/>
    <w:rsid w:val="001A7AA5"/>
    <w:rsid w:val="001F74CD"/>
    <w:rsid w:val="001F77D1"/>
    <w:rsid w:val="001F7AFC"/>
    <w:rsid w:val="002137C3"/>
    <w:rsid w:val="0021754C"/>
    <w:rsid w:val="00231687"/>
    <w:rsid w:val="00247041"/>
    <w:rsid w:val="00250C0B"/>
    <w:rsid w:val="00276602"/>
    <w:rsid w:val="0027672C"/>
    <w:rsid w:val="002B40BF"/>
    <w:rsid w:val="002B4BAF"/>
    <w:rsid w:val="002F74AC"/>
    <w:rsid w:val="003211C0"/>
    <w:rsid w:val="003239A7"/>
    <w:rsid w:val="00333433"/>
    <w:rsid w:val="00362234"/>
    <w:rsid w:val="00380443"/>
    <w:rsid w:val="00387E0E"/>
    <w:rsid w:val="0039163E"/>
    <w:rsid w:val="003A0707"/>
    <w:rsid w:val="003A56D8"/>
    <w:rsid w:val="003B4C09"/>
    <w:rsid w:val="003D29BE"/>
    <w:rsid w:val="003D7695"/>
    <w:rsid w:val="00412923"/>
    <w:rsid w:val="00422DF1"/>
    <w:rsid w:val="004420F5"/>
    <w:rsid w:val="00453DA1"/>
    <w:rsid w:val="004628FC"/>
    <w:rsid w:val="0046572F"/>
    <w:rsid w:val="004659B6"/>
    <w:rsid w:val="004A7F8C"/>
    <w:rsid w:val="004B53B3"/>
    <w:rsid w:val="004C6195"/>
    <w:rsid w:val="00505E24"/>
    <w:rsid w:val="00512BC6"/>
    <w:rsid w:val="0052045E"/>
    <w:rsid w:val="0053619F"/>
    <w:rsid w:val="00543CE8"/>
    <w:rsid w:val="00556B34"/>
    <w:rsid w:val="0058048D"/>
    <w:rsid w:val="00587D0B"/>
    <w:rsid w:val="005B6418"/>
    <w:rsid w:val="005C31EC"/>
    <w:rsid w:val="005C359E"/>
    <w:rsid w:val="005D42AA"/>
    <w:rsid w:val="005E0A17"/>
    <w:rsid w:val="00621C58"/>
    <w:rsid w:val="00621E74"/>
    <w:rsid w:val="00624746"/>
    <w:rsid w:val="00636E3F"/>
    <w:rsid w:val="00640759"/>
    <w:rsid w:val="00653351"/>
    <w:rsid w:val="0066110D"/>
    <w:rsid w:val="006A7F43"/>
    <w:rsid w:val="006E46CB"/>
    <w:rsid w:val="007014A6"/>
    <w:rsid w:val="00703905"/>
    <w:rsid w:val="00737094"/>
    <w:rsid w:val="00761107"/>
    <w:rsid w:val="007626C1"/>
    <w:rsid w:val="00765808"/>
    <w:rsid w:val="007667D7"/>
    <w:rsid w:val="00773E7D"/>
    <w:rsid w:val="00785483"/>
    <w:rsid w:val="00793FA9"/>
    <w:rsid w:val="007B50DB"/>
    <w:rsid w:val="007C1393"/>
    <w:rsid w:val="007C1A41"/>
    <w:rsid w:val="007C43B2"/>
    <w:rsid w:val="007D257B"/>
    <w:rsid w:val="007D31F6"/>
    <w:rsid w:val="007E3875"/>
    <w:rsid w:val="007F6170"/>
    <w:rsid w:val="008136C2"/>
    <w:rsid w:val="00824EEC"/>
    <w:rsid w:val="0083313E"/>
    <w:rsid w:val="00833D7E"/>
    <w:rsid w:val="00846234"/>
    <w:rsid w:val="00890C23"/>
    <w:rsid w:val="0089159B"/>
    <w:rsid w:val="00895C3F"/>
    <w:rsid w:val="00896C25"/>
    <w:rsid w:val="008A1050"/>
    <w:rsid w:val="008B71E8"/>
    <w:rsid w:val="008C0A5F"/>
    <w:rsid w:val="008C0F6E"/>
    <w:rsid w:val="008C1BA7"/>
    <w:rsid w:val="008D61AF"/>
    <w:rsid w:val="008D6E77"/>
    <w:rsid w:val="00903B7C"/>
    <w:rsid w:val="009126B7"/>
    <w:rsid w:val="009352CB"/>
    <w:rsid w:val="00935D85"/>
    <w:rsid w:val="0095076F"/>
    <w:rsid w:val="00956B77"/>
    <w:rsid w:val="00957699"/>
    <w:rsid w:val="00966C3A"/>
    <w:rsid w:val="00977002"/>
    <w:rsid w:val="00980361"/>
    <w:rsid w:val="0098466C"/>
    <w:rsid w:val="00986071"/>
    <w:rsid w:val="009A0C6A"/>
    <w:rsid w:val="009C267A"/>
    <w:rsid w:val="009F7155"/>
    <w:rsid w:val="00A111AA"/>
    <w:rsid w:val="00A2192E"/>
    <w:rsid w:val="00A21BD7"/>
    <w:rsid w:val="00A32403"/>
    <w:rsid w:val="00A55273"/>
    <w:rsid w:val="00A5545C"/>
    <w:rsid w:val="00A57D12"/>
    <w:rsid w:val="00A9544F"/>
    <w:rsid w:val="00A96EB8"/>
    <w:rsid w:val="00AA28B2"/>
    <w:rsid w:val="00AA67D6"/>
    <w:rsid w:val="00AC4E77"/>
    <w:rsid w:val="00AF0560"/>
    <w:rsid w:val="00AF7045"/>
    <w:rsid w:val="00B10CA9"/>
    <w:rsid w:val="00B31476"/>
    <w:rsid w:val="00B733E0"/>
    <w:rsid w:val="00BD5D91"/>
    <w:rsid w:val="00C10CDE"/>
    <w:rsid w:val="00C17651"/>
    <w:rsid w:val="00C56C11"/>
    <w:rsid w:val="00C64114"/>
    <w:rsid w:val="00C65309"/>
    <w:rsid w:val="00C67202"/>
    <w:rsid w:val="00CD77F2"/>
    <w:rsid w:val="00CE1134"/>
    <w:rsid w:val="00CF2221"/>
    <w:rsid w:val="00CF7614"/>
    <w:rsid w:val="00D151CB"/>
    <w:rsid w:val="00D1635E"/>
    <w:rsid w:val="00D2280E"/>
    <w:rsid w:val="00D360F9"/>
    <w:rsid w:val="00D41568"/>
    <w:rsid w:val="00D504C4"/>
    <w:rsid w:val="00D96127"/>
    <w:rsid w:val="00E34C55"/>
    <w:rsid w:val="00E40D6A"/>
    <w:rsid w:val="00E41C7F"/>
    <w:rsid w:val="00E42ADB"/>
    <w:rsid w:val="00E85042"/>
    <w:rsid w:val="00E93D77"/>
    <w:rsid w:val="00EA0670"/>
    <w:rsid w:val="00EB09CC"/>
    <w:rsid w:val="00EC1A3D"/>
    <w:rsid w:val="00ED37D6"/>
    <w:rsid w:val="00EE4FC0"/>
    <w:rsid w:val="00EF4534"/>
    <w:rsid w:val="00F25319"/>
    <w:rsid w:val="00F31C2A"/>
    <w:rsid w:val="00F54205"/>
    <w:rsid w:val="00F5503C"/>
    <w:rsid w:val="00F573E7"/>
    <w:rsid w:val="00F86FBD"/>
    <w:rsid w:val="00F9429F"/>
    <w:rsid w:val="00FB3C04"/>
    <w:rsid w:val="00FB54C7"/>
    <w:rsid w:val="00FF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op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borahansell@itopf.com" TargetMode="External"/><Relationship Id="rId4" Type="http://schemas.openxmlformats.org/officeDocument/2006/relationships/settings" Target="settings.xml"/><Relationship Id="rId9" Type="http://schemas.openxmlformats.org/officeDocument/2006/relationships/hyperlink" Target="http://www.itopf.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A5D0-8591-4308-9B53-F8969F15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Musk</dc:creator>
  <cp:lastModifiedBy>Deborah Ansell</cp:lastModifiedBy>
  <cp:revision>5</cp:revision>
  <cp:lastPrinted>2014-03-31T10:54:00Z</cp:lastPrinted>
  <dcterms:created xsi:type="dcterms:W3CDTF">2014-03-31T10:46:00Z</dcterms:created>
  <dcterms:modified xsi:type="dcterms:W3CDTF">2014-03-31T10:59:00Z</dcterms:modified>
</cp:coreProperties>
</file>