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F313" w14:textId="749F13CB" w:rsidR="005E4833" w:rsidRPr="005E4833" w:rsidRDefault="00A3167C" w:rsidP="00A3167C">
      <w:pPr>
        <w:spacing w:after="0" w:line="240" w:lineRule="auto"/>
        <w:jc w:val="center"/>
        <w:rPr>
          <w:rFonts w:cstheme="minorHAnsi"/>
          <w:sz w:val="16"/>
          <w:szCs w:val="16"/>
        </w:rPr>
      </w:pPr>
      <w:r>
        <w:rPr>
          <w:rFonts w:cstheme="minorHAnsi"/>
          <w:b/>
          <w:color w:val="242C5C"/>
          <w:sz w:val="36"/>
          <w:szCs w:val="36"/>
        </w:rPr>
        <w:t>ITOPF Publishes Tanker Spill Statistics for 2021</w:t>
      </w:r>
    </w:p>
    <w:p w14:paraId="1A084E90" w14:textId="77777777" w:rsidR="00A3167C" w:rsidRDefault="00A3167C" w:rsidP="00E336DF">
      <w:pPr>
        <w:spacing w:after="240" w:line="240" w:lineRule="auto"/>
        <w:jc w:val="both"/>
        <w:rPr>
          <w:rFonts w:cstheme="minorHAnsi"/>
        </w:rPr>
      </w:pPr>
    </w:p>
    <w:p w14:paraId="4FF66A90" w14:textId="7A1279F3" w:rsidR="00EB5D67" w:rsidRDefault="008B6A4F" w:rsidP="0053554B">
      <w:pPr>
        <w:spacing w:line="240" w:lineRule="auto"/>
        <w:jc w:val="center"/>
        <w:rPr>
          <w:rFonts w:cstheme="minorHAnsi"/>
        </w:rPr>
      </w:pPr>
      <w:r>
        <w:rPr>
          <w:rFonts w:cstheme="minorHAnsi"/>
          <w:noProof/>
        </w:rPr>
        <w:drawing>
          <wp:inline distT="0" distB="0" distL="0" distR="0" wp14:anchorId="31DD573D" wp14:editId="4E4C1DCA">
            <wp:extent cx="5402580" cy="3604285"/>
            <wp:effectExtent l="0" t="0" r="7620" b="0"/>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rotWithShape="1">
                    <a:blip r:embed="rId8" cstate="print">
                      <a:extLst>
                        <a:ext uri="{28A0092B-C50C-407E-A947-70E740481C1C}">
                          <a14:useLocalDpi xmlns:a14="http://schemas.microsoft.com/office/drawing/2010/main" val="0"/>
                        </a:ext>
                      </a:extLst>
                    </a:blip>
                    <a:srcRect b="8090"/>
                    <a:stretch/>
                  </pic:blipFill>
                  <pic:spPr bwMode="auto">
                    <a:xfrm>
                      <a:off x="0" y="0"/>
                      <a:ext cx="5426370" cy="3620156"/>
                    </a:xfrm>
                    <a:prstGeom prst="rect">
                      <a:avLst/>
                    </a:prstGeom>
                    <a:ln>
                      <a:noFill/>
                    </a:ln>
                    <a:extLst>
                      <a:ext uri="{53640926-AAD7-44D8-BBD7-CCE9431645EC}">
                        <a14:shadowObscured xmlns:a14="http://schemas.microsoft.com/office/drawing/2010/main"/>
                      </a:ext>
                    </a:extLst>
                  </pic:spPr>
                </pic:pic>
              </a:graphicData>
            </a:graphic>
          </wp:inline>
        </w:drawing>
      </w:r>
    </w:p>
    <w:p w14:paraId="5E0E4084" w14:textId="6060FAD7" w:rsidR="00EB5D67" w:rsidRPr="0053554B" w:rsidRDefault="0053554B" w:rsidP="008B6A4F">
      <w:pPr>
        <w:jc w:val="center"/>
        <w:rPr>
          <w:i/>
          <w:iCs/>
          <w:color w:val="242C5C"/>
          <w:sz w:val="20"/>
          <w:szCs w:val="20"/>
        </w:rPr>
      </w:pPr>
      <w:r w:rsidRPr="0053554B">
        <w:rPr>
          <w:i/>
          <w:iCs/>
          <w:color w:val="242C5C"/>
          <w:sz w:val="20"/>
          <w:szCs w:val="20"/>
        </w:rPr>
        <w:t xml:space="preserve">  </w:t>
      </w:r>
      <w:r w:rsidR="008B6A4F" w:rsidRPr="0053554B">
        <w:rPr>
          <w:i/>
          <w:iCs/>
          <w:color w:val="242C5C"/>
          <w:sz w:val="20"/>
          <w:szCs w:val="20"/>
        </w:rPr>
        <w:t xml:space="preserve">Number of medium (7-700 tonnes) and large (&gt;700 tonnes) </w:t>
      </w:r>
      <w:r w:rsidR="00DD2C35">
        <w:rPr>
          <w:i/>
          <w:iCs/>
          <w:color w:val="242C5C"/>
          <w:sz w:val="20"/>
          <w:szCs w:val="20"/>
        </w:rPr>
        <w:t xml:space="preserve">tanker </w:t>
      </w:r>
      <w:r w:rsidR="00DD2C35" w:rsidRPr="0053554B">
        <w:rPr>
          <w:i/>
          <w:iCs/>
          <w:color w:val="242C5C"/>
          <w:sz w:val="20"/>
          <w:szCs w:val="20"/>
        </w:rPr>
        <w:t>spills</w:t>
      </w:r>
      <w:r w:rsidR="00DD2C35">
        <w:rPr>
          <w:i/>
          <w:iCs/>
          <w:color w:val="242C5C"/>
          <w:sz w:val="20"/>
          <w:szCs w:val="20"/>
        </w:rPr>
        <w:t>,</w:t>
      </w:r>
      <w:r w:rsidR="00DD2C35" w:rsidRPr="0053554B">
        <w:rPr>
          <w:i/>
          <w:iCs/>
          <w:color w:val="242C5C"/>
          <w:sz w:val="20"/>
          <w:szCs w:val="20"/>
        </w:rPr>
        <w:t xml:space="preserve"> </w:t>
      </w:r>
      <w:r w:rsidR="008B6A4F" w:rsidRPr="0053554B">
        <w:rPr>
          <w:i/>
          <w:iCs/>
          <w:color w:val="242C5C"/>
          <w:sz w:val="20"/>
          <w:szCs w:val="20"/>
        </w:rPr>
        <w:t>1970 -2021</w:t>
      </w:r>
    </w:p>
    <w:p w14:paraId="3D62158B" w14:textId="77777777" w:rsidR="00A7291D" w:rsidRDefault="00A7291D" w:rsidP="00D74E1D">
      <w:pPr>
        <w:spacing w:line="240" w:lineRule="auto"/>
        <w:jc w:val="both"/>
        <w:rPr>
          <w:rFonts w:cstheme="minorHAnsi"/>
        </w:rPr>
      </w:pPr>
    </w:p>
    <w:p w14:paraId="447CAFAA" w14:textId="1128CDAC" w:rsidR="00AD52CA" w:rsidRPr="00845DD1" w:rsidRDefault="003E53D4" w:rsidP="00D74E1D">
      <w:pPr>
        <w:spacing w:line="240" w:lineRule="auto"/>
        <w:jc w:val="both"/>
        <w:rPr>
          <w:rFonts w:cstheme="minorHAnsi"/>
        </w:rPr>
      </w:pPr>
      <w:r>
        <w:rPr>
          <w:rFonts w:cstheme="minorHAnsi"/>
        </w:rPr>
        <w:t>Data from ITOPF show</w:t>
      </w:r>
      <w:r w:rsidR="00DB5A8F">
        <w:rPr>
          <w:rFonts w:cstheme="minorHAnsi"/>
        </w:rPr>
        <w:t>s</w:t>
      </w:r>
      <w:r>
        <w:rPr>
          <w:rFonts w:cstheme="minorHAnsi"/>
        </w:rPr>
        <w:t xml:space="preserve"> that s</w:t>
      </w:r>
      <w:r w:rsidR="001A16A4">
        <w:rPr>
          <w:rFonts w:cstheme="minorHAnsi"/>
        </w:rPr>
        <w:t>ix</w:t>
      </w:r>
      <w:r w:rsidR="00A624EB">
        <w:rPr>
          <w:rFonts w:cstheme="minorHAnsi"/>
        </w:rPr>
        <w:t xml:space="preserve"> o</w:t>
      </w:r>
      <w:r w:rsidR="00D74E1D">
        <w:rPr>
          <w:rFonts w:cstheme="minorHAnsi"/>
        </w:rPr>
        <w:t xml:space="preserve">il spills </w:t>
      </w:r>
      <w:r w:rsidR="00092D60">
        <w:rPr>
          <w:rFonts w:cstheme="minorHAnsi"/>
        </w:rPr>
        <w:t xml:space="preserve">over 7 tonnes </w:t>
      </w:r>
      <w:r w:rsidR="00E77C62">
        <w:rPr>
          <w:rFonts w:cstheme="minorHAnsi"/>
        </w:rPr>
        <w:t>were</w:t>
      </w:r>
      <w:r w:rsidR="00D51B2B">
        <w:rPr>
          <w:rFonts w:cstheme="minorHAnsi"/>
        </w:rPr>
        <w:t xml:space="preserve"> </w:t>
      </w:r>
      <w:r w:rsidR="001A16A4">
        <w:rPr>
          <w:rFonts w:cstheme="minorHAnsi"/>
        </w:rPr>
        <w:t xml:space="preserve">recorded </w:t>
      </w:r>
      <w:r w:rsidR="00D74E1D">
        <w:rPr>
          <w:rFonts w:cstheme="minorHAnsi"/>
        </w:rPr>
        <w:t>from tanker</w:t>
      </w:r>
      <w:r w:rsidR="001A16A4">
        <w:rPr>
          <w:rFonts w:cstheme="minorHAnsi"/>
        </w:rPr>
        <w:t xml:space="preserve"> incident</w:t>
      </w:r>
      <w:r w:rsidR="00D74E1D">
        <w:rPr>
          <w:rFonts w:cstheme="minorHAnsi"/>
        </w:rPr>
        <w:t xml:space="preserve">s </w:t>
      </w:r>
      <w:r w:rsidR="001A16A4">
        <w:rPr>
          <w:rFonts w:cstheme="minorHAnsi"/>
        </w:rPr>
        <w:t>in 2021</w:t>
      </w:r>
      <w:r>
        <w:rPr>
          <w:rFonts w:cstheme="minorHAnsi"/>
        </w:rPr>
        <w:t>.</w:t>
      </w:r>
      <w:r w:rsidR="00D51B2B">
        <w:rPr>
          <w:rFonts w:cstheme="minorHAnsi"/>
        </w:rPr>
        <w:t xml:space="preserve"> This is </w:t>
      </w:r>
      <w:r w:rsidR="00764B8A">
        <w:rPr>
          <w:rFonts w:cstheme="minorHAnsi"/>
        </w:rPr>
        <w:t>a slight increase</w:t>
      </w:r>
      <w:r w:rsidR="00D51B2B">
        <w:rPr>
          <w:rFonts w:cstheme="minorHAnsi"/>
        </w:rPr>
        <w:t xml:space="preserve"> on 2020, but on a par with the average for </w:t>
      </w:r>
      <w:r w:rsidR="00421232">
        <w:rPr>
          <w:rFonts w:cstheme="minorHAnsi"/>
        </w:rPr>
        <w:t>the 2010s</w:t>
      </w:r>
      <w:r w:rsidR="00D51B2B">
        <w:rPr>
          <w:rFonts w:cstheme="minorHAnsi"/>
        </w:rPr>
        <w:t xml:space="preserve"> and a dramatic </w:t>
      </w:r>
      <w:r w:rsidR="00421232">
        <w:rPr>
          <w:rFonts w:cstheme="minorHAnsi"/>
        </w:rPr>
        <w:t>reduction</w:t>
      </w:r>
      <w:r w:rsidR="00D51B2B">
        <w:rPr>
          <w:rFonts w:cstheme="minorHAnsi"/>
        </w:rPr>
        <w:t xml:space="preserve"> </w:t>
      </w:r>
      <w:r w:rsidR="00D51B2B" w:rsidRPr="00845DD1">
        <w:rPr>
          <w:rFonts w:cstheme="minorHAnsi"/>
        </w:rPr>
        <w:t xml:space="preserve">from the </w:t>
      </w:r>
      <w:r w:rsidR="004A5390" w:rsidRPr="00845DD1">
        <w:rPr>
          <w:rFonts w:cstheme="minorHAnsi"/>
        </w:rPr>
        <w:t>numbers re</w:t>
      </w:r>
      <w:r w:rsidR="00E16724" w:rsidRPr="00845DD1">
        <w:rPr>
          <w:rFonts w:cstheme="minorHAnsi"/>
        </w:rPr>
        <w:t>port</w:t>
      </w:r>
      <w:r w:rsidR="004A5390" w:rsidRPr="00845DD1">
        <w:rPr>
          <w:rFonts w:cstheme="minorHAnsi"/>
        </w:rPr>
        <w:t>ed in earlier decades</w:t>
      </w:r>
      <w:r w:rsidR="00845DD1">
        <w:rPr>
          <w:rFonts w:cstheme="minorHAnsi"/>
        </w:rPr>
        <w:t>, as illustrated above</w:t>
      </w:r>
      <w:r w:rsidR="004A5390" w:rsidRPr="00845DD1">
        <w:rPr>
          <w:rFonts w:cstheme="minorHAnsi"/>
        </w:rPr>
        <w:t xml:space="preserve">. </w:t>
      </w:r>
    </w:p>
    <w:p w14:paraId="010E806C" w14:textId="70F44694" w:rsidR="00AD52CA" w:rsidRPr="00845DD1" w:rsidRDefault="00421232" w:rsidP="00D74E1D">
      <w:pPr>
        <w:spacing w:line="240" w:lineRule="auto"/>
        <w:jc w:val="both"/>
        <w:rPr>
          <w:rFonts w:cstheme="minorHAnsi"/>
        </w:rPr>
      </w:pPr>
      <w:r w:rsidRPr="00845DD1">
        <w:rPr>
          <w:rFonts w:cstheme="minorHAnsi"/>
        </w:rPr>
        <w:t xml:space="preserve">Only one of the six incidents </w:t>
      </w:r>
      <w:r w:rsidR="00104890" w:rsidRPr="00845DD1">
        <w:rPr>
          <w:rFonts w:cstheme="minorHAnsi"/>
        </w:rPr>
        <w:t xml:space="preserve">in 2021 </w:t>
      </w:r>
      <w:r w:rsidR="00EB5D67" w:rsidRPr="00845DD1">
        <w:rPr>
          <w:rFonts w:cstheme="minorHAnsi"/>
        </w:rPr>
        <w:t>resulted in a spill</w:t>
      </w:r>
      <w:r w:rsidRPr="00845DD1">
        <w:rPr>
          <w:rFonts w:cstheme="minorHAnsi"/>
        </w:rPr>
        <w:t xml:space="preserve"> </w:t>
      </w:r>
      <w:r w:rsidR="00104890" w:rsidRPr="00845DD1">
        <w:rPr>
          <w:rFonts w:cstheme="minorHAnsi"/>
        </w:rPr>
        <w:t>greater than 700 tonnes (</w:t>
      </w:r>
      <w:r w:rsidRPr="00845DD1">
        <w:rPr>
          <w:rFonts w:cstheme="minorHAnsi"/>
        </w:rPr>
        <w:t>c</w:t>
      </w:r>
      <w:r w:rsidR="00EB5D67" w:rsidRPr="00845DD1">
        <w:rPr>
          <w:rFonts w:cstheme="minorHAnsi"/>
        </w:rPr>
        <w:t xml:space="preserve">lassified </w:t>
      </w:r>
      <w:r w:rsidRPr="00845DD1">
        <w:rPr>
          <w:rFonts w:cstheme="minorHAnsi"/>
        </w:rPr>
        <w:t xml:space="preserve">as a </w:t>
      </w:r>
      <w:r w:rsidR="00104890" w:rsidRPr="00845DD1">
        <w:rPr>
          <w:rFonts w:cstheme="minorHAnsi"/>
        </w:rPr>
        <w:t>‘</w:t>
      </w:r>
      <w:r w:rsidRPr="00845DD1">
        <w:rPr>
          <w:rFonts w:cstheme="minorHAnsi"/>
        </w:rPr>
        <w:t>large</w:t>
      </w:r>
      <w:r w:rsidR="00104890" w:rsidRPr="00845DD1">
        <w:rPr>
          <w:rFonts w:cstheme="minorHAnsi"/>
        </w:rPr>
        <w:t>’</w:t>
      </w:r>
      <w:r w:rsidRPr="00845DD1">
        <w:rPr>
          <w:rFonts w:cstheme="minorHAnsi"/>
        </w:rPr>
        <w:t xml:space="preserve"> spill</w:t>
      </w:r>
      <w:r w:rsidR="00104890" w:rsidRPr="00845DD1">
        <w:rPr>
          <w:rFonts w:cstheme="minorHAnsi"/>
        </w:rPr>
        <w:t>)</w:t>
      </w:r>
      <w:r w:rsidRPr="00845DD1">
        <w:rPr>
          <w:rFonts w:cstheme="minorHAnsi"/>
        </w:rPr>
        <w:t xml:space="preserve">. This occurred in </w:t>
      </w:r>
      <w:r w:rsidR="00EF37B0" w:rsidRPr="00845DD1">
        <w:rPr>
          <w:rFonts w:cstheme="minorHAnsi"/>
        </w:rPr>
        <w:t xml:space="preserve">Asia in </w:t>
      </w:r>
      <w:r w:rsidR="00EB5D67" w:rsidRPr="00845DD1">
        <w:rPr>
          <w:rFonts w:cstheme="minorHAnsi"/>
        </w:rPr>
        <w:t>April</w:t>
      </w:r>
      <w:r w:rsidR="00EF37B0" w:rsidRPr="00845DD1">
        <w:rPr>
          <w:rFonts w:cstheme="minorHAnsi"/>
        </w:rPr>
        <w:t xml:space="preserve"> and involved heavy </w:t>
      </w:r>
      <w:r w:rsidR="00D9795E">
        <w:rPr>
          <w:rFonts w:cstheme="minorHAnsi"/>
        </w:rPr>
        <w:t xml:space="preserve">crude </w:t>
      </w:r>
      <w:r w:rsidR="00EF37B0" w:rsidRPr="00845DD1">
        <w:rPr>
          <w:rFonts w:cstheme="minorHAnsi"/>
        </w:rPr>
        <w:t>oil</w:t>
      </w:r>
      <w:r w:rsidR="00193FC8" w:rsidRPr="00845DD1">
        <w:rPr>
          <w:rFonts w:cstheme="minorHAnsi"/>
        </w:rPr>
        <w:t xml:space="preserve">. </w:t>
      </w:r>
    </w:p>
    <w:p w14:paraId="4FD880F3" w14:textId="2AA0DD08" w:rsidR="00D74E1D" w:rsidRPr="00845DD1" w:rsidRDefault="00AD52CA" w:rsidP="00D74E1D">
      <w:pPr>
        <w:spacing w:line="240" w:lineRule="auto"/>
        <w:jc w:val="both"/>
        <w:rPr>
          <w:rFonts w:cstheme="minorHAnsi"/>
        </w:rPr>
      </w:pPr>
      <w:r w:rsidRPr="00845DD1">
        <w:rPr>
          <w:rFonts w:cstheme="minorHAnsi"/>
        </w:rPr>
        <w:t xml:space="preserve">The five </w:t>
      </w:r>
      <w:r w:rsidR="00E45281" w:rsidRPr="00845DD1">
        <w:rPr>
          <w:rFonts w:cstheme="minorHAnsi"/>
        </w:rPr>
        <w:t xml:space="preserve">other </w:t>
      </w:r>
      <w:r w:rsidRPr="00845DD1">
        <w:rPr>
          <w:rFonts w:cstheme="minorHAnsi"/>
        </w:rPr>
        <w:t>incidents</w:t>
      </w:r>
      <w:r w:rsidR="00EB5D67" w:rsidRPr="00845DD1">
        <w:rPr>
          <w:rFonts w:cstheme="minorHAnsi"/>
        </w:rPr>
        <w:t xml:space="preserve"> (classified as ‘medium’ spills)</w:t>
      </w:r>
      <w:r w:rsidRPr="00845DD1">
        <w:rPr>
          <w:rFonts w:cstheme="minorHAnsi"/>
        </w:rPr>
        <w:t xml:space="preserve"> involved </w:t>
      </w:r>
      <w:r w:rsidR="00EF37B0" w:rsidRPr="00845DD1">
        <w:rPr>
          <w:rFonts w:cstheme="minorHAnsi"/>
        </w:rPr>
        <w:t>crude, slurry and non-persistent oils.</w:t>
      </w:r>
    </w:p>
    <w:p w14:paraId="157E16E5" w14:textId="70509954" w:rsidR="002B57FB" w:rsidRPr="00845DD1" w:rsidRDefault="00AD52CA" w:rsidP="002B57FB">
      <w:pPr>
        <w:spacing w:line="240" w:lineRule="auto"/>
        <w:jc w:val="both"/>
        <w:rPr>
          <w:rFonts w:cstheme="minorHAnsi"/>
        </w:rPr>
      </w:pPr>
      <w:r w:rsidRPr="00845DD1">
        <w:rPr>
          <w:rFonts w:cstheme="minorHAnsi"/>
        </w:rPr>
        <w:t>The total volume of oil lost to the environment from tanker spills in 2021 was approximately 10,000</w:t>
      </w:r>
      <w:r w:rsidR="00EB5D67" w:rsidRPr="00845DD1">
        <w:rPr>
          <w:rFonts w:cstheme="minorHAnsi"/>
        </w:rPr>
        <w:t xml:space="preserve"> </w:t>
      </w:r>
      <w:r w:rsidRPr="00845DD1">
        <w:rPr>
          <w:rFonts w:cstheme="minorHAnsi"/>
        </w:rPr>
        <w:t xml:space="preserve">tonnes, the majority of which was spilt in the one </w:t>
      </w:r>
      <w:r w:rsidR="00EB5D67" w:rsidRPr="00845DD1">
        <w:rPr>
          <w:rFonts w:cstheme="minorHAnsi"/>
        </w:rPr>
        <w:t>large</w:t>
      </w:r>
      <w:r w:rsidRPr="00845DD1">
        <w:rPr>
          <w:rFonts w:cstheme="minorHAnsi"/>
        </w:rPr>
        <w:t xml:space="preserve"> incident. </w:t>
      </w:r>
      <w:r w:rsidR="00EB5D67" w:rsidRPr="00845DD1">
        <w:rPr>
          <w:rFonts w:cstheme="minorHAnsi"/>
        </w:rPr>
        <w:t xml:space="preserve">This figure is higher than </w:t>
      </w:r>
      <w:r w:rsidR="00E20634" w:rsidRPr="00845DD1">
        <w:rPr>
          <w:rFonts w:cstheme="minorHAnsi"/>
        </w:rPr>
        <w:t xml:space="preserve">the </w:t>
      </w:r>
      <w:r w:rsidR="00EB5D67" w:rsidRPr="00845DD1">
        <w:rPr>
          <w:rFonts w:cstheme="minorHAnsi"/>
        </w:rPr>
        <w:t xml:space="preserve">previous </w:t>
      </w:r>
      <w:r w:rsidR="00E20634" w:rsidRPr="00845DD1">
        <w:rPr>
          <w:rFonts w:cstheme="minorHAnsi"/>
        </w:rPr>
        <w:t xml:space="preserve">two </w:t>
      </w:r>
      <w:r w:rsidR="00193FC8" w:rsidRPr="00845DD1">
        <w:rPr>
          <w:rFonts w:cstheme="minorHAnsi"/>
        </w:rPr>
        <w:t>years</w:t>
      </w:r>
      <w:r w:rsidR="00193FC8">
        <w:rPr>
          <w:rFonts w:cstheme="minorHAnsi"/>
        </w:rPr>
        <w:t xml:space="preserve"> but</w:t>
      </w:r>
      <w:r w:rsidR="002B57FB" w:rsidRPr="00845DD1">
        <w:rPr>
          <w:rFonts w:cstheme="minorHAnsi"/>
        </w:rPr>
        <w:t xml:space="preserve"> remains a fraction of the </w:t>
      </w:r>
      <w:r w:rsidR="00DB5A8F">
        <w:rPr>
          <w:rFonts w:cstheme="minorHAnsi"/>
        </w:rPr>
        <w:t>1.7</w:t>
      </w:r>
      <w:r w:rsidR="002B57FB" w:rsidRPr="00845DD1">
        <w:rPr>
          <w:rFonts w:cstheme="minorHAnsi"/>
        </w:rPr>
        <w:t xml:space="preserve"> billion tonnes</w:t>
      </w:r>
      <w:r w:rsidR="002B57FB" w:rsidRPr="00845DD1">
        <w:rPr>
          <w:rStyle w:val="FootnoteReference"/>
          <w:rFonts w:cstheme="minorHAnsi"/>
        </w:rPr>
        <w:footnoteReference w:id="1"/>
      </w:r>
      <w:r w:rsidR="002B57FB" w:rsidRPr="00845DD1">
        <w:rPr>
          <w:rFonts w:cstheme="minorHAnsi"/>
        </w:rPr>
        <w:t xml:space="preserve"> of oil</w:t>
      </w:r>
      <w:r w:rsidR="001846F9" w:rsidRPr="00845DD1">
        <w:rPr>
          <w:rFonts w:cstheme="minorHAnsi"/>
        </w:rPr>
        <w:t xml:space="preserve"> that is transported </w:t>
      </w:r>
      <w:r w:rsidR="002B57FB" w:rsidRPr="00845DD1">
        <w:rPr>
          <w:rFonts w:cstheme="minorHAnsi"/>
        </w:rPr>
        <w:t>by sea</w:t>
      </w:r>
      <w:r w:rsidR="001846F9" w:rsidRPr="00845DD1">
        <w:rPr>
          <w:rFonts w:cstheme="minorHAnsi"/>
        </w:rPr>
        <w:t xml:space="preserve"> each year</w:t>
      </w:r>
      <w:r w:rsidR="00193FC8" w:rsidRPr="00845DD1">
        <w:rPr>
          <w:rFonts w:cstheme="minorHAnsi"/>
        </w:rPr>
        <w:t xml:space="preserve">. </w:t>
      </w:r>
    </w:p>
    <w:p w14:paraId="2CB1C702" w14:textId="4CB7A87C" w:rsidR="00E53D0F" w:rsidRDefault="00BA3F61" w:rsidP="00EA4590">
      <w:pPr>
        <w:spacing w:after="0" w:line="240" w:lineRule="auto"/>
        <w:jc w:val="both"/>
        <w:rPr>
          <w:rFonts w:cstheme="minorHAnsi"/>
        </w:rPr>
      </w:pPr>
      <w:r w:rsidRPr="00845DD1">
        <w:rPr>
          <w:rFonts w:cstheme="minorHAnsi"/>
        </w:rPr>
        <w:t>Despite some annual fluctuations, t</w:t>
      </w:r>
      <w:r w:rsidR="0076745F" w:rsidRPr="00845DD1">
        <w:rPr>
          <w:rFonts w:cstheme="minorHAnsi"/>
        </w:rPr>
        <w:t>he</w:t>
      </w:r>
      <w:r w:rsidR="00F21AC2" w:rsidRPr="00845DD1">
        <w:rPr>
          <w:rFonts w:cstheme="minorHAnsi"/>
        </w:rPr>
        <w:t xml:space="preserve"> </w:t>
      </w:r>
      <w:r w:rsidR="0076745F" w:rsidRPr="00845DD1">
        <w:rPr>
          <w:rFonts w:cstheme="minorHAnsi"/>
        </w:rPr>
        <w:t>number and volume</w:t>
      </w:r>
      <w:r w:rsidR="00F21AC2" w:rsidRPr="00845DD1">
        <w:rPr>
          <w:rFonts w:cstheme="minorHAnsi"/>
        </w:rPr>
        <w:t xml:space="preserve"> of oil spills from tankers has plummeted since ITOPF’s records began half a century ago</w:t>
      </w:r>
      <w:r w:rsidR="00E20634" w:rsidRPr="00845DD1">
        <w:rPr>
          <w:rFonts w:cstheme="minorHAnsi"/>
        </w:rPr>
        <w:t xml:space="preserve"> and is largely stabilising at a l</w:t>
      </w:r>
      <w:r w:rsidR="00F850D6" w:rsidRPr="00845DD1">
        <w:rPr>
          <w:rFonts w:cstheme="minorHAnsi"/>
        </w:rPr>
        <w:t>ow level</w:t>
      </w:r>
      <w:r w:rsidR="00EF37B0" w:rsidRPr="00845DD1">
        <w:rPr>
          <w:rFonts w:cstheme="minorHAnsi"/>
        </w:rPr>
        <w:t xml:space="preserve">. </w:t>
      </w:r>
      <w:bookmarkStart w:id="0" w:name="_Hlk92377255"/>
      <w:r w:rsidR="00EF37B0" w:rsidRPr="00845DD1">
        <w:rPr>
          <w:rFonts w:cstheme="minorHAnsi"/>
        </w:rPr>
        <w:t xml:space="preserve">This </w:t>
      </w:r>
      <w:r w:rsidR="00580F33">
        <w:rPr>
          <w:rFonts w:cstheme="minorHAnsi"/>
        </w:rPr>
        <w:t xml:space="preserve">reduction </w:t>
      </w:r>
      <w:r w:rsidR="00845DD1">
        <w:rPr>
          <w:rFonts w:cstheme="minorHAnsi"/>
        </w:rPr>
        <w:t>has been driven by</w:t>
      </w:r>
      <w:r w:rsidR="00845DD1" w:rsidRPr="00845DD1">
        <w:rPr>
          <w:rFonts w:cstheme="minorHAnsi"/>
        </w:rPr>
        <w:t xml:space="preserve"> </w:t>
      </w:r>
      <w:r w:rsidR="00E53D0F" w:rsidRPr="00845DD1">
        <w:rPr>
          <w:rFonts w:cstheme="minorHAnsi"/>
        </w:rPr>
        <w:t>positive change from t</w:t>
      </w:r>
      <w:r w:rsidR="004763B1" w:rsidRPr="00845DD1">
        <w:rPr>
          <w:rFonts w:cstheme="minorHAnsi"/>
        </w:rPr>
        <w:t xml:space="preserve">he shipping industry, </w:t>
      </w:r>
      <w:r w:rsidR="00845DD1" w:rsidRPr="00845DD1">
        <w:rPr>
          <w:rFonts w:cstheme="minorHAnsi"/>
        </w:rPr>
        <w:t>supported by</w:t>
      </w:r>
      <w:r w:rsidR="004763B1" w:rsidRPr="00845DD1">
        <w:rPr>
          <w:rFonts w:cstheme="minorHAnsi"/>
        </w:rPr>
        <w:t xml:space="preserve"> governments</w:t>
      </w:r>
      <w:r w:rsidR="00EF37B0" w:rsidRPr="00845DD1">
        <w:rPr>
          <w:rFonts w:cstheme="minorHAnsi"/>
        </w:rPr>
        <w:t xml:space="preserve">, </w:t>
      </w:r>
      <w:r w:rsidR="00E16724" w:rsidRPr="00845DD1">
        <w:rPr>
          <w:rFonts w:cstheme="minorHAnsi"/>
        </w:rPr>
        <w:t xml:space="preserve">and their </w:t>
      </w:r>
      <w:r w:rsidR="007D55C6">
        <w:rPr>
          <w:rFonts w:cstheme="minorHAnsi"/>
        </w:rPr>
        <w:t xml:space="preserve">ongoing </w:t>
      </w:r>
      <w:r w:rsidR="00E16724" w:rsidRPr="00845DD1">
        <w:rPr>
          <w:rFonts w:cstheme="minorHAnsi"/>
        </w:rPr>
        <w:t>commitment</w:t>
      </w:r>
      <w:r w:rsidR="00EF37B0" w:rsidRPr="00845DD1">
        <w:rPr>
          <w:rFonts w:cstheme="minorHAnsi"/>
        </w:rPr>
        <w:t xml:space="preserve"> to exploring and investing in ways to improve maritime safety and environmental protection</w:t>
      </w:r>
      <w:bookmarkEnd w:id="0"/>
      <w:r w:rsidR="00EF37B0" w:rsidRPr="00845DD1">
        <w:rPr>
          <w:rFonts w:cstheme="minorHAnsi"/>
        </w:rPr>
        <w:t>.</w:t>
      </w:r>
    </w:p>
    <w:p w14:paraId="2CD357E9" w14:textId="77777777" w:rsidR="0053554B" w:rsidRDefault="0053554B" w:rsidP="0095374D">
      <w:pPr>
        <w:spacing w:after="0" w:line="240" w:lineRule="auto"/>
        <w:rPr>
          <w:rFonts w:cstheme="minorHAnsi"/>
        </w:rPr>
      </w:pPr>
    </w:p>
    <w:p w14:paraId="501817CF" w14:textId="7F038360" w:rsidR="00DB010D" w:rsidRDefault="00EA4590" w:rsidP="0095374D">
      <w:pPr>
        <w:spacing w:after="0" w:line="240" w:lineRule="auto"/>
      </w:pPr>
      <w:r w:rsidRPr="0095374D">
        <w:rPr>
          <w:rFonts w:cstheme="minorHAnsi"/>
        </w:rPr>
        <w:lastRenderedPageBreak/>
        <w:t xml:space="preserve">It is important to note that although ITOPF attends incidents from </w:t>
      </w:r>
      <w:r w:rsidR="002E402B">
        <w:rPr>
          <w:rFonts w:cstheme="minorHAnsi"/>
        </w:rPr>
        <w:t>all types of ship</w:t>
      </w:r>
      <w:r w:rsidRPr="0095374D">
        <w:rPr>
          <w:rFonts w:cstheme="minorHAnsi"/>
        </w:rPr>
        <w:t>, for historical reasons the annual statistics publication reports incidents involving tankers</w:t>
      </w:r>
      <w:r w:rsidR="002E402B">
        <w:rPr>
          <w:rFonts w:cstheme="minorHAnsi"/>
        </w:rPr>
        <w:t xml:space="preserve"> </w:t>
      </w:r>
      <w:r w:rsidR="002E402B" w:rsidRPr="0095374D">
        <w:rPr>
          <w:rFonts w:cstheme="minorHAnsi"/>
        </w:rPr>
        <w:t>only</w:t>
      </w:r>
      <w:r w:rsidR="003E53D4">
        <w:rPr>
          <w:rFonts w:cstheme="minorHAnsi"/>
        </w:rPr>
        <w:t>.</w:t>
      </w:r>
      <w:r w:rsidRPr="0095374D">
        <w:rPr>
          <w:rFonts w:cstheme="minorHAnsi"/>
        </w:rPr>
        <w:t xml:space="preserve"> Accidents involving non-tank vessels which carry oil as bunker fuel</w:t>
      </w:r>
      <w:r w:rsidR="0029437C">
        <w:rPr>
          <w:rFonts w:cstheme="minorHAnsi"/>
        </w:rPr>
        <w:t xml:space="preserve"> </w:t>
      </w:r>
      <w:r w:rsidRPr="0095374D">
        <w:rPr>
          <w:rFonts w:cstheme="minorHAnsi"/>
        </w:rPr>
        <w:t>may also be a source of pollution</w:t>
      </w:r>
      <w:r w:rsidR="00193FC8" w:rsidRPr="0095374D">
        <w:rPr>
          <w:rFonts w:cstheme="minorHAnsi"/>
        </w:rPr>
        <w:t xml:space="preserve">. </w:t>
      </w:r>
      <w:r w:rsidR="00DB010D">
        <w:rPr>
          <w:rFonts w:cstheme="minorHAnsi"/>
        </w:rPr>
        <w:t>Other non-shipping sources, such as p</w:t>
      </w:r>
      <w:r w:rsidR="00DB010D">
        <w:t>ipeline spills and oil industry activities, as well as natural seepage, also contribute towards the global input of oil into the marine environment.</w:t>
      </w:r>
    </w:p>
    <w:p w14:paraId="03F19706" w14:textId="663B79C0" w:rsidR="005C1A8D" w:rsidRDefault="005C1A8D" w:rsidP="0095374D">
      <w:pPr>
        <w:spacing w:after="0" w:line="240" w:lineRule="auto"/>
      </w:pPr>
    </w:p>
    <w:p w14:paraId="12BA99E9" w14:textId="77777777" w:rsidR="005C1A8D" w:rsidRDefault="005C1A8D" w:rsidP="0095374D">
      <w:pPr>
        <w:spacing w:after="0" w:line="240" w:lineRule="auto"/>
      </w:pPr>
    </w:p>
    <w:p w14:paraId="10F3F447" w14:textId="2F3710AC" w:rsidR="00DB010D" w:rsidRDefault="005C1A8D">
      <w:r>
        <w:rPr>
          <w:noProof/>
        </w:rPr>
        <mc:AlternateContent>
          <mc:Choice Requires="wps">
            <w:drawing>
              <wp:anchor distT="0" distB="0" distL="114300" distR="114300" simplePos="0" relativeHeight="251659264" behindDoc="0" locked="0" layoutInCell="1" allowOverlap="1" wp14:anchorId="6E8758F1" wp14:editId="0D66EEE7">
                <wp:simplePos x="0" y="0"/>
                <wp:positionH relativeFrom="column">
                  <wp:posOffset>1597025</wp:posOffset>
                </wp:positionH>
                <wp:positionV relativeFrom="paragraph">
                  <wp:posOffset>187960</wp:posOffset>
                </wp:positionV>
                <wp:extent cx="17678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67840" cy="0"/>
                        </a:xfrm>
                        <a:prstGeom prst="line">
                          <a:avLst/>
                        </a:prstGeom>
                        <a:ln>
                          <a:solidFill>
                            <a:srgbClr val="242C5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641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75pt,14.8pt" to="264.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" strokecolor="#242c5c"/>
            </w:pict>
          </mc:Fallback>
        </mc:AlternateContent>
      </w:r>
      <w:r w:rsidR="00DB010D">
        <w:br w:type="page"/>
      </w:r>
    </w:p>
    <w:p w14:paraId="4FE9CF74" w14:textId="66636215" w:rsidR="0089300D" w:rsidRDefault="0089300D" w:rsidP="0089300D">
      <w:pPr>
        <w:rPr>
          <w:rFonts w:cs="Tahoma"/>
          <w:b/>
          <w:sz w:val="28"/>
          <w:szCs w:val="28"/>
          <w:u w:val="single"/>
        </w:rPr>
      </w:pPr>
      <w:r>
        <w:rPr>
          <w:rFonts w:cs="Tahoma"/>
          <w:b/>
          <w:sz w:val="28"/>
          <w:szCs w:val="28"/>
          <w:u w:val="single"/>
        </w:rPr>
        <w:lastRenderedPageBreak/>
        <w:t>Notes for Editors</w:t>
      </w:r>
    </w:p>
    <w:p w14:paraId="57C8829C" w14:textId="124FBAE4" w:rsidR="0089300D" w:rsidRDefault="0089300D" w:rsidP="00DB32F2">
      <w:pPr>
        <w:spacing w:after="100" w:afterAutospacing="1" w:line="240" w:lineRule="auto"/>
      </w:pPr>
      <w:r w:rsidRPr="00DB736D">
        <w:t>ITOPF maintains a database of oil spills from tank vessels, including combined carriers, FPSOs and barges. This contains information on accidental spillages of persistent and non-persistent oil since 1970, except those resulting from acts of war. The data held includes the location and cause of the incident, the vessel involved, the type of oil spilt and the spill amount. For historical reasons, spills are generally categorised by size, &lt;7 tonnes, 7–700 tonnes and &gt;700 tonnes (&lt;50 bbls, 50–5,000 bbls, &gt;5,000 bbls), although the actual amount spilt is also recorded. Information is now held on over 10,000 incidents, the vast majority of which fall into the smallest category i.e. &lt;7 tonnes.</w:t>
      </w:r>
    </w:p>
    <w:p w14:paraId="17C17EB1" w14:textId="071C6B40" w:rsidR="00E16724" w:rsidRPr="003E26CF" w:rsidRDefault="00E16724" w:rsidP="00E16724">
      <w:r w:rsidRPr="003E26CF">
        <w:t xml:space="preserve">We regret that it is not possible to provide direct access to our database or to release the names of individual tanker </w:t>
      </w:r>
      <w:r w:rsidR="00FD2EFD" w:rsidRPr="003E26CF">
        <w:t>spill</w:t>
      </w:r>
      <w:r w:rsidRPr="003E26CF">
        <w:t>s.</w:t>
      </w:r>
    </w:p>
    <w:p w14:paraId="3B3CD247" w14:textId="37D302B5" w:rsidR="00D5288B" w:rsidRDefault="0089300D" w:rsidP="00DB32F2">
      <w:pPr>
        <w:spacing w:after="100" w:afterAutospacing="1" w:line="240" w:lineRule="auto"/>
        <w:jc w:val="both"/>
        <w:rPr>
          <w:rFonts w:cstheme="minorHAnsi"/>
        </w:rPr>
      </w:pPr>
      <w:r>
        <w:rPr>
          <w:rFonts w:ascii="Calibri" w:hAnsi="Calibri"/>
        </w:rPr>
        <w:t xml:space="preserve">Further details are available on the </w:t>
      </w:r>
      <w:hyperlink r:id="rId9" w:history="1">
        <w:r w:rsidRPr="00AA3686">
          <w:rPr>
            <w:rStyle w:val="Hyperlink"/>
            <w:rFonts w:ascii="Calibri" w:hAnsi="Calibri"/>
          </w:rPr>
          <w:t>statistics</w:t>
        </w:r>
      </w:hyperlink>
      <w:r>
        <w:rPr>
          <w:rFonts w:ascii="Calibri" w:hAnsi="Calibri"/>
        </w:rPr>
        <w:t xml:space="preserve"> page of </w:t>
      </w:r>
      <w:r w:rsidR="003B7259">
        <w:rPr>
          <w:rFonts w:ascii="Calibri" w:hAnsi="Calibri"/>
        </w:rPr>
        <w:t>our</w:t>
      </w:r>
      <w:r>
        <w:rPr>
          <w:rFonts w:ascii="Calibri" w:hAnsi="Calibri"/>
        </w:rPr>
        <w:t xml:space="preserve"> website</w:t>
      </w:r>
      <w:r w:rsidR="00DD2C35">
        <w:rPr>
          <w:rFonts w:ascii="Calibri" w:hAnsi="Calibri"/>
        </w:rPr>
        <w:t xml:space="preserve">. The full 2021 report will be available </w:t>
      </w:r>
      <w:r w:rsidR="003B7259">
        <w:rPr>
          <w:rFonts w:ascii="Calibri" w:hAnsi="Calibri"/>
        </w:rPr>
        <w:t xml:space="preserve">here </w:t>
      </w:r>
      <w:r w:rsidR="00DD2C35">
        <w:rPr>
          <w:rFonts w:ascii="Calibri" w:hAnsi="Calibri"/>
        </w:rPr>
        <w:t>shortly.</w:t>
      </w:r>
    </w:p>
    <w:p w14:paraId="30EEFA29" w14:textId="5AFFD514" w:rsidR="006D2C7B" w:rsidRPr="000F2394" w:rsidRDefault="006D2C7B" w:rsidP="006D2C7B">
      <w:pPr>
        <w:rPr>
          <w:rFonts w:cs="Tahoma"/>
          <w:b/>
          <w:sz w:val="28"/>
          <w:szCs w:val="28"/>
          <w:u w:val="single"/>
        </w:rPr>
      </w:pPr>
      <w:r>
        <w:rPr>
          <w:rFonts w:cs="Tahoma"/>
          <w:b/>
          <w:sz w:val="28"/>
          <w:szCs w:val="28"/>
          <w:u w:val="single"/>
        </w:rPr>
        <w:t>Notes on ITOPF</w:t>
      </w:r>
    </w:p>
    <w:p w14:paraId="138F25B7" w14:textId="5CDC3B2D" w:rsidR="00DB010D" w:rsidRPr="00085157" w:rsidRDefault="00DB010D" w:rsidP="00DB010D">
      <w:pPr>
        <w:spacing w:after="0" w:line="240" w:lineRule="auto"/>
        <w:jc w:val="both"/>
        <w:rPr>
          <w:rFonts w:cs="Arial"/>
          <w:sz w:val="20"/>
          <w:szCs w:val="20"/>
        </w:rPr>
      </w:pPr>
      <w:r w:rsidRPr="00085157">
        <w:rPr>
          <w:rFonts w:cs="Arial"/>
          <w:sz w:val="20"/>
          <w:szCs w:val="20"/>
        </w:rPr>
        <w:t>1. Established in 1968, ITOPF is maintained by the world’s shipowners and their insurers on a not-for-profit basis to promote effective response to spills of oil, chemicals and other substances in the marine environment</w:t>
      </w:r>
      <w:r w:rsidR="00193FC8" w:rsidRPr="00085157">
        <w:rPr>
          <w:rFonts w:cs="Arial"/>
          <w:sz w:val="20"/>
          <w:szCs w:val="20"/>
        </w:rPr>
        <w:t xml:space="preserve">. </w:t>
      </w:r>
    </w:p>
    <w:p w14:paraId="75A6AA0E" w14:textId="77777777" w:rsidR="00DB010D" w:rsidRPr="00085157" w:rsidRDefault="00DB010D" w:rsidP="00DB010D">
      <w:pPr>
        <w:spacing w:after="0" w:line="240" w:lineRule="auto"/>
        <w:jc w:val="both"/>
        <w:rPr>
          <w:rFonts w:cs="Arial"/>
          <w:sz w:val="20"/>
          <w:szCs w:val="20"/>
        </w:rPr>
      </w:pPr>
    </w:p>
    <w:p w14:paraId="15D6CD5B" w14:textId="77777777" w:rsidR="00DB010D" w:rsidRPr="00085157" w:rsidRDefault="00DB010D" w:rsidP="00DB010D">
      <w:pPr>
        <w:spacing w:after="0" w:line="240" w:lineRule="auto"/>
        <w:jc w:val="both"/>
        <w:rPr>
          <w:rFonts w:cs="Arial"/>
          <w:sz w:val="20"/>
          <w:szCs w:val="20"/>
        </w:rPr>
      </w:pPr>
      <w:r w:rsidRPr="00085157">
        <w:rPr>
          <w:rFonts w:cs="Arial"/>
          <w:sz w:val="20"/>
          <w:szCs w:val="20"/>
        </w:rPr>
        <w:t xml:space="preserve">2. ITOPF was originally known as the International Tanker Owners Pollution Federation, but in 2018 officially changed its name to ITOPF Ltd. </w:t>
      </w:r>
    </w:p>
    <w:p w14:paraId="6C90CFAF" w14:textId="77777777" w:rsidR="00DB010D" w:rsidRPr="00085157" w:rsidRDefault="00DB010D" w:rsidP="00DB010D">
      <w:pPr>
        <w:spacing w:after="0" w:line="240" w:lineRule="auto"/>
        <w:jc w:val="both"/>
        <w:rPr>
          <w:rFonts w:cs="Arial"/>
          <w:sz w:val="20"/>
          <w:szCs w:val="20"/>
        </w:rPr>
      </w:pPr>
    </w:p>
    <w:p w14:paraId="0A7C4C30" w14:textId="5F0D902D" w:rsidR="00DB010D" w:rsidRPr="00085157" w:rsidRDefault="00DB010D" w:rsidP="00DB010D">
      <w:pPr>
        <w:spacing w:after="0" w:line="240" w:lineRule="auto"/>
        <w:jc w:val="both"/>
        <w:rPr>
          <w:rFonts w:cs="Arial"/>
          <w:sz w:val="20"/>
          <w:szCs w:val="20"/>
        </w:rPr>
      </w:pPr>
      <w:r w:rsidRPr="00085157">
        <w:rPr>
          <w:rFonts w:cs="Arial"/>
          <w:sz w:val="20"/>
          <w:szCs w:val="20"/>
        </w:rPr>
        <w:t xml:space="preserve">3. ITOPF's Membership currently comprises around 8,250 owners and bareboat charterers of approximately 13,600 tank vessels with a total gross tonnage of over 455 million </w:t>
      </w:r>
      <w:r w:rsidR="00193FC8" w:rsidRPr="00085157">
        <w:rPr>
          <w:rFonts w:cs="Arial"/>
          <w:sz w:val="20"/>
          <w:szCs w:val="20"/>
        </w:rPr>
        <w:t xml:space="preserve">GT. </w:t>
      </w:r>
      <w:r w:rsidRPr="00085157">
        <w:rPr>
          <w:rFonts w:cs="Arial"/>
          <w:sz w:val="20"/>
          <w:szCs w:val="20"/>
        </w:rPr>
        <w:t>The organisation also benefits from the participation of over 875 million GT of non-tanker tonnage owned and operated by its Associates.</w:t>
      </w:r>
    </w:p>
    <w:p w14:paraId="5D837838" w14:textId="77777777" w:rsidR="00DB010D" w:rsidRPr="00085157" w:rsidRDefault="00DB010D" w:rsidP="00DB010D">
      <w:pPr>
        <w:spacing w:after="0" w:line="240" w:lineRule="auto"/>
        <w:jc w:val="both"/>
        <w:rPr>
          <w:rFonts w:cs="Arial"/>
          <w:sz w:val="20"/>
          <w:szCs w:val="20"/>
        </w:rPr>
      </w:pPr>
    </w:p>
    <w:p w14:paraId="17A7F1AF" w14:textId="77777777" w:rsidR="00DB010D" w:rsidRPr="00085157" w:rsidRDefault="00DB010D" w:rsidP="00DB010D">
      <w:pPr>
        <w:spacing w:after="0" w:line="240" w:lineRule="auto"/>
        <w:jc w:val="both"/>
        <w:rPr>
          <w:sz w:val="20"/>
          <w:szCs w:val="20"/>
        </w:rPr>
      </w:pPr>
      <w:r w:rsidRPr="00085157">
        <w:rPr>
          <w:rFonts w:cs="Arial"/>
          <w:sz w:val="20"/>
          <w:szCs w:val="20"/>
        </w:rPr>
        <w:t>4.  ITOPF's priority service is responding to accidental marine spills from ships. IT</w:t>
      </w:r>
      <w:r w:rsidRPr="00085157">
        <w:rPr>
          <w:sz w:val="20"/>
          <w:szCs w:val="20"/>
        </w:rPr>
        <w:t xml:space="preserve">OPF staff have attended on-site at over 800 incidents in 100 countries, giving the organisation unparalleled practical experience of the realities of combating marine spills. </w:t>
      </w:r>
    </w:p>
    <w:p w14:paraId="20EF8B49" w14:textId="77777777" w:rsidR="00DB010D" w:rsidRPr="00085157" w:rsidRDefault="00DB010D" w:rsidP="00DB010D">
      <w:pPr>
        <w:spacing w:after="0" w:line="240" w:lineRule="auto"/>
        <w:jc w:val="both"/>
        <w:rPr>
          <w:sz w:val="20"/>
          <w:szCs w:val="20"/>
        </w:rPr>
      </w:pPr>
    </w:p>
    <w:p w14:paraId="20BF38A7" w14:textId="77777777" w:rsidR="00DB010D" w:rsidRPr="00085157" w:rsidRDefault="00DB010D" w:rsidP="00DB010D">
      <w:pPr>
        <w:spacing w:after="0" w:line="240" w:lineRule="auto"/>
        <w:jc w:val="both"/>
        <w:rPr>
          <w:sz w:val="20"/>
          <w:szCs w:val="20"/>
        </w:rPr>
      </w:pPr>
      <w:r w:rsidRPr="00085157">
        <w:rPr>
          <w:sz w:val="20"/>
          <w:szCs w:val="20"/>
        </w:rPr>
        <w:t>ITOPF also:</w:t>
      </w:r>
    </w:p>
    <w:p w14:paraId="62ED1CEE" w14:textId="77777777" w:rsidR="00DB010D" w:rsidRPr="00085157" w:rsidRDefault="00DB010D" w:rsidP="00DB010D">
      <w:pPr>
        <w:spacing w:after="0" w:line="240" w:lineRule="auto"/>
        <w:jc w:val="both"/>
        <w:rPr>
          <w:sz w:val="20"/>
          <w:szCs w:val="20"/>
        </w:rPr>
      </w:pPr>
    </w:p>
    <w:p w14:paraId="3D7BD47E" w14:textId="03C85441" w:rsidR="00DB010D" w:rsidRPr="00085157" w:rsidRDefault="00DB010D" w:rsidP="00DB010D">
      <w:pPr>
        <w:pStyle w:val="ListParagraph"/>
        <w:numPr>
          <w:ilvl w:val="0"/>
          <w:numId w:val="2"/>
        </w:numPr>
        <w:spacing w:after="0" w:line="240" w:lineRule="auto"/>
        <w:jc w:val="both"/>
        <w:rPr>
          <w:sz w:val="20"/>
          <w:szCs w:val="20"/>
        </w:rPr>
      </w:pPr>
      <w:r w:rsidRPr="00085157">
        <w:rPr>
          <w:sz w:val="20"/>
          <w:szCs w:val="20"/>
        </w:rPr>
        <w:t>assesses the damage caused by spills to the environment and economic resources</w:t>
      </w:r>
    </w:p>
    <w:p w14:paraId="5293AD2E" w14:textId="5322AFD1" w:rsidR="00DB010D" w:rsidRPr="00085157" w:rsidRDefault="00DB010D" w:rsidP="00DB010D">
      <w:pPr>
        <w:pStyle w:val="ListParagraph"/>
        <w:numPr>
          <w:ilvl w:val="0"/>
          <w:numId w:val="2"/>
        </w:numPr>
        <w:spacing w:after="0" w:line="240" w:lineRule="auto"/>
        <w:jc w:val="both"/>
        <w:rPr>
          <w:sz w:val="20"/>
          <w:szCs w:val="20"/>
        </w:rPr>
      </w:pPr>
      <w:r w:rsidRPr="00085157">
        <w:rPr>
          <w:sz w:val="20"/>
          <w:szCs w:val="20"/>
        </w:rPr>
        <w:t>provides advice on the technical merits of claims for compensation</w:t>
      </w:r>
    </w:p>
    <w:p w14:paraId="06679B86" w14:textId="7D285E4D" w:rsidR="00DB010D" w:rsidRPr="00085157" w:rsidRDefault="00DB010D" w:rsidP="00DB010D">
      <w:pPr>
        <w:pStyle w:val="ListParagraph"/>
        <w:numPr>
          <w:ilvl w:val="0"/>
          <w:numId w:val="2"/>
        </w:numPr>
        <w:spacing w:after="0" w:line="240" w:lineRule="auto"/>
        <w:jc w:val="both"/>
        <w:rPr>
          <w:sz w:val="20"/>
          <w:szCs w:val="20"/>
        </w:rPr>
      </w:pPr>
      <w:r w:rsidRPr="00085157">
        <w:rPr>
          <w:sz w:val="20"/>
          <w:szCs w:val="20"/>
        </w:rPr>
        <w:t>conducts contingency planning, advisory and training assignments</w:t>
      </w:r>
    </w:p>
    <w:p w14:paraId="4FC6270A" w14:textId="49249C07" w:rsidR="00DB010D" w:rsidRPr="00085157" w:rsidRDefault="00DB010D" w:rsidP="00DB010D">
      <w:pPr>
        <w:pStyle w:val="ListParagraph"/>
        <w:numPr>
          <w:ilvl w:val="0"/>
          <w:numId w:val="2"/>
        </w:numPr>
        <w:spacing w:after="0" w:line="240" w:lineRule="auto"/>
        <w:jc w:val="both"/>
        <w:rPr>
          <w:sz w:val="20"/>
          <w:szCs w:val="20"/>
        </w:rPr>
      </w:pPr>
      <w:r w:rsidRPr="00085157">
        <w:rPr>
          <w:sz w:val="20"/>
          <w:szCs w:val="20"/>
        </w:rPr>
        <w:t>is a primary source of information on ship-source spills through its technical publications, films and website (</w:t>
      </w:r>
      <w:hyperlink r:id="rId10" w:history="1">
        <w:r w:rsidRPr="00085157">
          <w:rPr>
            <w:rStyle w:val="Hyperlink"/>
            <w:sz w:val="20"/>
            <w:szCs w:val="20"/>
          </w:rPr>
          <w:t>www.itopf.org</w:t>
        </w:r>
      </w:hyperlink>
      <w:r w:rsidRPr="00085157">
        <w:rPr>
          <w:rStyle w:val="Hyperlink"/>
          <w:sz w:val="20"/>
          <w:szCs w:val="20"/>
        </w:rPr>
        <w:t>)</w:t>
      </w:r>
    </w:p>
    <w:p w14:paraId="7FD48FC8" w14:textId="77777777" w:rsidR="00DB010D" w:rsidRPr="00085157" w:rsidRDefault="00DB010D" w:rsidP="00DB010D">
      <w:pPr>
        <w:spacing w:after="0" w:line="240" w:lineRule="auto"/>
        <w:jc w:val="both"/>
        <w:rPr>
          <w:sz w:val="20"/>
          <w:szCs w:val="20"/>
        </w:rPr>
      </w:pPr>
    </w:p>
    <w:p w14:paraId="189CF41A" w14:textId="77777777" w:rsidR="00DB010D" w:rsidRPr="00085157" w:rsidRDefault="00DB010D" w:rsidP="00DB010D">
      <w:pPr>
        <w:spacing w:after="0" w:line="240" w:lineRule="auto"/>
        <w:jc w:val="both"/>
        <w:rPr>
          <w:sz w:val="20"/>
          <w:szCs w:val="20"/>
        </w:rPr>
      </w:pPr>
      <w:r w:rsidRPr="00085157">
        <w:rPr>
          <w:sz w:val="20"/>
          <w:szCs w:val="20"/>
        </w:rPr>
        <w:t xml:space="preserve">5.  </w:t>
      </w:r>
      <w:r w:rsidRPr="00085157">
        <w:rPr>
          <w:sz w:val="20"/>
          <w:szCs w:val="20"/>
        </w:rPr>
        <w:tab/>
        <w:t>For further information contact:</w:t>
      </w:r>
    </w:p>
    <w:p w14:paraId="584D5A71" w14:textId="77777777" w:rsidR="00DB010D" w:rsidRPr="00085157" w:rsidRDefault="00DB010D" w:rsidP="00DB010D">
      <w:pPr>
        <w:spacing w:after="0" w:line="240" w:lineRule="auto"/>
        <w:jc w:val="both"/>
        <w:rPr>
          <w:sz w:val="20"/>
          <w:szCs w:val="20"/>
        </w:rPr>
      </w:pPr>
    </w:p>
    <w:p w14:paraId="78E69717" w14:textId="050AA386" w:rsidR="00DB010D" w:rsidRDefault="00DB010D" w:rsidP="00DB010D">
      <w:pPr>
        <w:spacing w:after="0" w:line="240" w:lineRule="auto"/>
        <w:jc w:val="both"/>
        <w:rPr>
          <w:sz w:val="20"/>
          <w:szCs w:val="20"/>
        </w:rPr>
      </w:pPr>
      <w:r w:rsidRPr="00085157">
        <w:rPr>
          <w:sz w:val="20"/>
          <w:szCs w:val="20"/>
        </w:rPr>
        <w:tab/>
      </w:r>
      <w:r w:rsidRPr="00085157">
        <w:rPr>
          <w:sz w:val="20"/>
          <w:szCs w:val="20"/>
        </w:rPr>
        <w:tab/>
      </w:r>
      <w:r w:rsidR="00912D0E">
        <w:rPr>
          <w:sz w:val="20"/>
          <w:szCs w:val="20"/>
        </w:rPr>
        <w:t>Oli Beavon, Managing Director</w:t>
      </w:r>
    </w:p>
    <w:p w14:paraId="042FEC94" w14:textId="425C4BC5" w:rsidR="00912D0E" w:rsidRPr="00085157" w:rsidRDefault="00912D0E" w:rsidP="00DB010D">
      <w:pPr>
        <w:spacing w:after="0" w:line="240" w:lineRule="auto"/>
        <w:jc w:val="both"/>
        <w:rPr>
          <w:sz w:val="20"/>
          <w:szCs w:val="20"/>
        </w:rPr>
      </w:pPr>
      <w:r>
        <w:rPr>
          <w:sz w:val="20"/>
          <w:szCs w:val="20"/>
        </w:rPr>
        <w:tab/>
      </w:r>
      <w:r>
        <w:rPr>
          <w:sz w:val="20"/>
          <w:szCs w:val="20"/>
        </w:rPr>
        <w:tab/>
        <w:t>Deborah McKendrick, Senior Information Officer</w:t>
      </w:r>
    </w:p>
    <w:p w14:paraId="413F3C1A" w14:textId="77777777" w:rsidR="00DB010D" w:rsidRPr="00085157" w:rsidRDefault="00DB010D" w:rsidP="00DB010D">
      <w:pPr>
        <w:spacing w:after="0" w:line="240" w:lineRule="auto"/>
        <w:jc w:val="both"/>
        <w:rPr>
          <w:sz w:val="20"/>
          <w:szCs w:val="20"/>
        </w:rPr>
      </w:pPr>
      <w:r w:rsidRPr="00085157">
        <w:rPr>
          <w:sz w:val="20"/>
          <w:szCs w:val="20"/>
        </w:rPr>
        <w:tab/>
      </w:r>
      <w:r w:rsidRPr="00085157">
        <w:rPr>
          <w:sz w:val="20"/>
          <w:szCs w:val="20"/>
        </w:rPr>
        <w:tab/>
        <w:t xml:space="preserve">ITOPF Limited </w:t>
      </w:r>
    </w:p>
    <w:p w14:paraId="31F176E8" w14:textId="77777777" w:rsidR="00DB010D" w:rsidRPr="00085157" w:rsidRDefault="00DB010D" w:rsidP="00DB010D">
      <w:pPr>
        <w:spacing w:after="0" w:line="240" w:lineRule="auto"/>
        <w:jc w:val="both"/>
        <w:rPr>
          <w:sz w:val="20"/>
          <w:szCs w:val="20"/>
        </w:rPr>
      </w:pPr>
      <w:r w:rsidRPr="00085157">
        <w:rPr>
          <w:sz w:val="20"/>
          <w:szCs w:val="20"/>
        </w:rPr>
        <w:tab/>
      </w:r>
      <w:r w:rsidRPr="00085157">
        <w:rPr>
          <w:sz w:val="20"/>
          <w:szCs w:val="20"/>
        </w:rPr>
        <w:tab/>
        <w:t>1 Oliver’s Yard, 55 City Road, London EC1Y 1DT, UK</w:t>
      </w:r>
    </w:p>
    <w:p w14:paraId="176B645F" w14:textId="77777777" w:rsidR="00DB010D" w:rsidRPr="00085157" w:rsidRDefault="00DB010D" w:rsidP="00DB010D">
      <w:pPr>
        <w:spacing w:after="0" w:line="240" w:lineRule="auto"/>
        <w:jc w:val="both"/>
        <w:rPr>
          <w:sz w:val="20"/>
          <w:szCs w:val="20"/>
        </w:rPr>
      </w:pPr>
      <w:r w:rsidRPr="00085157">
        <w:rPr>
          <w:sz w:val="20"/>
          <w:szCs w:val="20"/>
        </w:rPr>
        <w:tab/>
      </w:r>
      <w:r w:rsidRPr="00085157">
        <w:rPr>
          <w:sz w:val="20"/>
          <w:szCs w:val="20"/>
        </w:rPr>
        <w:tab/>
        <w:t>Tel:  +44 (0)20 7566 6999</w:t>
      </w:r>
    </w:p>
    <w:p w14:paraId="0DF64BEF" w14:textId="1F1A0724" w:rsidR="00DB010D" w:rsidRPr="00085157" w:rsidRDefault="00DB010D" w:rsidP="00DB010D">
      <w:pPr>
        <w:spacing w:after="0" w:line="240" w:lineRule="auto"/>
        <w:jc w:val="both"/>
        <w:rPr>
          <w:rFonts w:cs="Arial"/>
          <w:sz w:val="20"/>
          <w:szCs w:val="20"/>
        </w:rPr>
      </w:pPr>
      <w:r w:rsidRPr="00085157">
        <w:rPr>
          <w:rFonts w:cs="Arial"/>
          <w:sz w:val="20"/>
          <w:szCs w:val="20"/>
        </w:rPr>
        <w:tab/>
      </w:r>
      <w:r w:rsidRPr="00085157">
        <w:rPr>
          <w:rFonts w:cs="Arial"/>
          <w:sz w:val="20"/>
          <w:szCs w:val="20"/>
        </w:rPr>
        <w:tab/>
      </w:r>
      <w:r>
        <w:rPr>
          <w:rFonts w:cs="Arial"/>
          <w:sz w:val="20"/>
          <w:szCs w:val="20"/>
        </w:rPr>
        <w:t xml:space="preserve">Email: </w:t>
      </w:r>
      <w:r w:rsidR="00E16724">
        <w:rPr>
          <w:rFonts w:cs="Arial"/>
          <w:sz w:val="20"/>
          <w:szCs w:val="20"/>
        </w:rPr>
        <w:t>deborahmckendrick@itopf.org</w:t>
      </w:r>
    </w:p>
    <w:p w14:paraId="3CCBC4E0" w14:textId="77777777" w:rsidR="00DB010D" w:rsidRPr="000F2394" w:rsidRDefault="00DB010D" w:rsidP="00DB010D">
      <w:pPr>
        <w:spacing w:after="0" w:line="240" w:lineRule="auto"/>
        <w:jc w:val="both"/>
        <w:rPr>
          <w:rFonts w:cs="Tahoma"/>
          <w:b/>
          <w:sz w:val="28"/>
          <w:szCs w:val="28"/>
          <w:u w:val="single"/>
        </w:rPr>
      </w:pPr>
      <w:r w:rsidRPr="00085157">
        <w:rPr>
          <w:rFonts w:cs="Arial"/>
          <w:sz w:val="20"/>
          <w:szCs w:val="20"/>
        </w:rPr>
        <w:tab/>
      </w:r>
      <w:r w:rsidRPr="00085157">
        <w:rPr>
          <w:rFonts w:cs="Arial"/>
          <w:sz w:val="20"/>
          <w:szCs w:val="20"/>
        </w:rPr>
        <w:tab/>
        <w:t xml:space="preserve">Web: </w:t>
      </w:r>
      <w:hyperlink r:id="rId11" w:history="1">
        <w:r w:rsidRPr="00085157">
          <w:rPr>
            <w:rStyle w:val="Hyperlink"/>
            <w:rFonts w:cs="Arial"/>
            <w:sz w:val="20"/>
            <w:szCs w:val="20"/>
          </w:rPr>
          <w:t>www.itopf.org</w:t>
        </w:r>
      </w:hyperlink>
      <w:r w:rsidRPr="00085157">
        <w:rPr>
          <w:rFonts w:cs="Arial"/>
          <w:sz w:val="20"/>
          <w:szCs w:val="20"/>
        </w:rPr>
        <w:tab/>
      </w:r>
      <w:r w:rsidRPr="000F2394">
        <w:rPr>
          <w:rFonts w:cs="Arial"/>
        </w:rPr>
        <w:tab/>
      </w:r>
    </w:p>
    <w:p w14:paraId="5B5815B6" w14:textId="48EEFDE5" w:rsidR="006D2C7B" w:rsidRPr="000F2394" w:rsidRDefault="006D2C7B" w:rsidP="00DB010D">
      <w:pPr>
        <w:spacing w:after="0" w:line="240" w:lineRule="auto"/>
        <w:jc w:val="both"/>
        <w:rPr>
          <w:rFonts w:cs="Tahoma"/>
          <w:b/>
          <w:sz w:val="28"/>
          <w:szCs w:val="28"/>
          <w:u w:val="single"/>
        </w:rPr>
      </w:pPr>
    </w:p>
    <w:sectPr w:rsidR="006D2C7B" w:rsidRPr="000F2394" w:rsidSect="005E4833">
      <w:headerReference w:type="even" r:id="rId12"/>
      <w:headerReference w:type="default" r:id="rId13"/>
      <w:footerReference w:type="even" r:id="rId14"/>
      <w:footerReference w:type="default" r:id="rId15"/>
      <w:pgSz w:w="11907" w:h="16839" w:code="9"/>
      <w:pgMar w:top="964" w:right="1361" w:bottom="964" w:left="136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C348" w14:textId="77777777" w:rsidR="00130AA5" w:rsidRDefault="00130AA5" w:rsidP="0095076F">
      <w:pPr>
        <w:spacing w:after="0" w:line="240" w:lineRule="auto"/>
      </w:pPr>
      <w:r>
        <w:separator/>
      </w:r>
    </w:p>
  </w:endnote>
  <w:endnote w:type="continuationSeparator" w:id="0">
    <w:p w14:paraId="3D6CD27E" w14:textId="77777777" w:rsidR="00130AA5" w:rsidRDefault="00130AA5"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9F7F" w14:textId="04076F21" w:rsidR="00E93D77" w:rsidRPr="001D6A4D" w:rsidRDefault="00E93D77" w:rsidP="00ED37D6">
    <w:pPr>
      <w:pStyle w:val="Footer"/>
      <w:pBdr>
        <w:top w:val="single" w:sz="2" w:space="5" w:color="019069"/>
      </w:pBdr>
      <w:tabs>
        <w:tab w:val="clear" w:pos="4513"/>
        <w:tab w:val="left" w:pos="142"/>
      </w:tabs>
    </w:pPr>
    <w:r>
      <w:t xml:space="preserve">ITOPF </w:t>
    </w:r>
    <w:r w:rsidR="00782A98">
      <w:t>202</w:t>
    </w:r>
    <w:r w:rsidR="00C61B5A">
      <w:t>2</w:t>
    </w:r>
  </w:p>
  <w:p w14:paraId="757AA7D2" w14:textId="77777777" w:rsidR="00E93D77" w:rsidRDefault="00E93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5F01" w14:textId="3D7DFB88" w:rsidR="00E93D77" w:rsidRPr="001D6A4D" w:rsidRDefault="005A6BFA" w:rsidP="00181ECA">
    <w:pPr>
      <w:pStyle w:val="Footer"/>
      <w:pBdr>
        <w:top w:val="single" w:sz="2" w:space="5" w:color="019069"/>
      </w:pBdr>
      <w:tabs>
        <w:tab w:val="clear" w:pos="4513"/>
        <w:tab w:val="left" w:pos="142"/>
      </w:tabs>
    </w:pPr>
    <w:r>
      <w:t>1</w:t>
    </w:r>
    <w:r w:rsidR="005258E0">
      <w:t>3</w:t>
    </w:r>
    <w:r w:rsidR="007A5844">
      <w:t>th</w:t>
    </w:r>
    <w:r w:rsidR="00782A98">
      <w:t xml:space="preserve"> January 202</w:t>
    </w:r>
    <w:r w:rsidR="00C61B5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5152" w14:textId="77777777" w:rsidR="00130AA5" w:rsidRDefault="00130AA5" w:rsidP="0095076F">
      <w:pPr>
        <w:spacing w:after="0" w:line="240" w:lineRule="auto"/>
      </w:pPr>
      <w:r>
        <w:separator/>
      </w:r>
    </w:p>
  </w:footnote>
  <w:footnote w:type="continuationSeparator" w:id="0">
    <w:p w14:paraId="770CF770" w14:textId="77777777" w:rsidR="00130AA5" w:rsidRDefault="00130AA5" w:rsidP="0095076F">
      <w:pPr>
        <w:spacing w:after="0" w:line="240" w:lineRule="auto"/>
      </w:pPr>
      <w:r>
        <w:continuationSeparator/>
      </w:r>
    </w:p>
  </w:footnote>
  <w:footnote w:id="1">
    <w:p w14:paraId="58AD94C4" w14:textId="6FAAF1E5" w:rsidR="002B57FB" w:rsidRPr="001F4B82" w:rsidRDefault="002B57FB" w:rsidP="002B57FB">
      <w:pPr>
        <w:pStyle w:val="FootnoteText"/>
        <w:rPr>
          <w:lang w:val="en-GB"/>
        </w:rPr>
      </w:pPr>
      <w:r>
        <w:rPr>
          <w:rStyle w:val="FootnoteReference"/>
        </w:rPr>
        <w:footnoteRef/>
      </w:r>
      <w:r>
        <w:t xml:space="preserve"> </w:t>
      </w:r>
      <w:r w:rsidR="002A4498">
        <w:t xml:space="preserve">This figure is for crude oil only and does not include petroleum products. Source: </w:t>
      </w:r>
      <w:hyperlink r:id="rId1" w:history="1">
        <w:r w:rsidR="00DB5A8F">
          <w:rPr>
            <w:rStyle w:val="Hyperlink"/>
          </w:rPr>
          <w:t>Review of Maritime Transport 2021 | UNCTAD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12085F" w:rsidRPr="00CD77F2" w14:paraId="44C1CD60" w14:textId="77777777" w:rsidTr="00685563">
      <w:tc>
        <w:tcPr>
          <w:tcW w:w="1119" w:type="dxa"/>
        </w:tcPr>
        <w:p w14:paraId="59B410AB" w14:textId="77777777" w:rsidR="0012085F" w:rsidRDefault="0012085F" w:rsidP="0012085F">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59F0A6F4" wp14:editId="0041C705">
                <wp:extent cx="546455" cy="590550"/>
                <wp:effectExtent l="0" t="0" r="635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6BF0653B" w14:textId="7BCC1C11" w:rsidR="0012085F" w:rsidRPr="0012085F" w:rsidRDefault="0089300D" w:rsidP="0012085F">
          <w:pPr>
            <w:pStyle w:val="NormalWeb"/>
            <w:shd w:val="clear" w:color="auto" w:fill="FFFFFF"/>
            <w:tabs>
              <w:tab w:val="left" w:pos="7938"/>
            </w:tabs>
            <w:spacing w:before="0" w:after="0"/>
            <w:jc w:val="right"/>
            <w:rPr>
              <w:rFonts w:asciiTheme="minorHAnsi" w:hAnsiTheme="minorHAnsi"/>
              <w:b/>
              <w:color w:val="242C5C"/>
              <w:sz w:val="48"/>
              <w:szCs w:val="48"/>
            </w:rPr>
          </w:pPr>
          <w:r>
            <w:rPr>
              <w:rFonts w:asciiTheme="minorHAnsi" w:hAnsiTheme="minorHAnsi"/>
              <w:b/>
              <w:color w:val="242C5C"/>
              <w:sz w:val="48"/>
              <w:szCs w:val="48"/>
            </w:rPr>
            <w:t>20</w:t>
          </w:r>
          <w:r w:rsidR="00EB4776">
            <w:rPr>
              <w:rFonts w:asciiTheme="minorHAnsi" w:hAnsiTheme="minorHAnsi"/>
              <w:b/>
              <w:color w:val="242C5C"/>
              <w:sz w:val="48"/>
              <w:szCs w:val="48"/>
            </w:rPr>
            <w:t>2</w:t>
          </w:r>
          <w:r w:rsidR="00C61B5A">
            <w:rPr>
              <w:rFonts w:asciiTheme="minorHAnsi" w:hAnsiTheme="minorHAnsi"/>
              <w:b/>
              <w:color w:val="242C5C"/>
              <w:sz w:val="48"/>
              <w:szCs w:val="48"/>
            </w:rPr>
            <w:t>1</w:t>
          </w:r>
          <w:r>
            <w:rPr>
              <w:rFonts w:asciiTheme="minorHAnsi" w:hAnsiTheme="minorHAnsi"/>
              <w:b/>
              <w:color w:val="242C5C"/>
              <w:sz w:val="48"/>
              <w:szCs w:val="48"/>
            </w:rPr>
            <w:t xml:space="preserve"> Oil Tanker Spill Statistics </w:t>
          </w:r>
        </w:p>
        <w:p w14:paraId="006884F8" w14:textId="77777777" w:rsidR="0012085F" w:rsidRPr="00CD77F2" w:rsidRDefault="0012085F" w:rsidP="0012085F">
          <w:pPr>
            <w:pStyle w:val="Header"/>
            <w:rPr>
              <w:rFonts w:ascii="Franklin Gothic Book" w:hAnsi="Franklin Gothic Book"/>
              <w:b/>
              <w:sz w:val="72"/>
              <w:szCs w:val="72"/>
            </w:rPr>
          </w:pPr>
        </w:p>
      </w:tc>
    </w:tr>
  </w:tbl>
  <w:p w14:paraId="5BDA93A0" w14:textId="71FD190E" w:rsidR="00E93D77" w:rsidRPr="004B53B3" w:rsidRDefault="00E93D77" w:rsidP="0012085F">
    <w:pPr>
      <w:pStyle w:val="NormalWeb"/>
      <w:shd w:val="clear" w:color="auto" w:fill="FFFFFF"/>
      <w:tabs>
        <w:tab w:val="left" w:pos="7938"/>
      </w:tabs>
      <w:spacing w:before="0" w:after="0"/>
      <w:jc w:val="right"/>
      <w:rPr>
        <w:color w:val="005A9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00A886"/>
        <w:right w:val="none" w:sz="0" w:space="0" w:color="auto"/>
        <w:insideH w:val="none" w:sz="0" w:space="0" w:color="auto"/>
        <w:insideV w:val="none" w:sz="0" w:space="0" w:color="auto"/>
      </w:tblBorders>
      <w:tblLook w:val="04A0" w:firstRow="1" w:lastRow="0" w:firstColumn="1" w:lastColumn="0" w:noHBand="0" w:noVBand="1"/>
    </w:tblPr>
    <w:tblGrid>
      <w:gridCol w:w="1119"/>
      <w:gridCol w:w="7878"/>
    </w:tblGrid>
    <w:tr w:rsidR="00F021A3" w:rsidRPr="00CD77F2" w14:paraId="1EF75A40" w14:textId="77777777" w:rsidTr="00F021A3">
      <w:tc>
        <w:tcPr>
          <w:tcW w:w="1119" w:type="dxa"/>
        </w:tcPr>
        <w:p w14:paraId="2AD737D9" w14:textId="7DA2E5FA" w:rsidR="00F021A3" w:rsidRDefault="00F021A3" w:rsidP="00F021A3">
          <w:pPr>
            <w:pStyle w:val="Header"/>
            <w:rPr>
              <w:rFonts w:ascii="Franklin Gothic Book" w:hAnsi="Franklin Gothic Book"/>
              <w:b/>
              <w:noProof/>
              <w:sz w:val="72"/>
              <w:szCs w:val="72"/>
              <w:lang w:val="en-GB" w:eastAsia="en-GB"/>
            </w:rPr>
          </w:pPr>
          <w:r>
            <w:rPr>
              <w:rFonts w:ascii="Franklin Gothic Book" w:hAnsi="Franklin Gothic Book"/>
              <w:b/>
              <w:noProof/>
              <w:sz w:val="72"/>
              <w:szCs w:val="72"/>
              <w:lang w:val="en-GB" w:eastAsia="en-GB"/>
            </w:rPr>
            <w:drawing>
              <wp:inline distT="0" distB="0" distL="0" distR="0" wp14:anchorId="6D5DA7A6" wp14:editId="712551C3">
                <wp:extent cx="546455" cy="590550"/>
                <wp:effectExtent l="0" t="0" r="6350"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extLst>
                            <a:ext uri="{28A0092B-C50C-407E-A947-70E740481C1C}">
                              <a14:useLocalDpi xmlns:a14="http://schemas.microsoft.com/office/drawing/2010/main" val="0"/>
                            </a:ext>
                          </a:extLst>
                        </a:blip>
                        <a:stretch>
                          <a:fillRect/>
                        </a:stretch>
                      </pic:blipFill>
                      <pic:spPr>
                        <a:xfrm>
                          <a:off x="0" y="0"/>
                          <a:ext cx="555267" cy="600073"/>
                        </a:xfrm>
                        <a:prstGeom prst="rect">
                          <a:avLst/>
                        </a:prstGeom>
                      </pic:spPr>
                    </pic:pic>
                  </a:graphicData>
                </a:graphic>
              </wp:inline>
            </w:drawing>
          </w:r>
        </w:p>
      </w:tc>
      <w:tc>
        <w:tcPr>
          <w:tcW w:w="7878" w:type="dxa"/>
        </w:tcPr>
        <w:p w14:paraId="70B213F2" w14:textId="74BC8CCD" w:rsidR="00CF41D3" w:rsidRPr="009242DE" w:rsidRDefault="009242DE" w:rsidP="00CF41D3">
          <w:pPr>
            <w:pStyle w:val="NormalWeb"/>
            <w:shd w:val="clear" w:color="auto" w:fill="FFFFFF"/>
            <w:tabs>
              <w:tab w:val="left" w:pos="7938"/>
            </w:tabs>
            <w:spacing w:before="0" w:after="0"/>
            <w:jc w:val="right"/>
            <w:rPr>
              <w:rFonts w:asciiTheme="minorHAnsi" w:hAnsiTheme="minorHAnsi"/>
              <w:b/>
              <w:color w:val="242C5C"/>
              <w:sz w:val="72"/>
              <w:szCs w:val="72"/>
            </w:rPr>
          </w:pPr>
          <w:r w:rsidRPr="009242DE">
            <w:rPr>
              <w:rFonts w:asciiTheme="minorHAnsi" w:hAnsiTheme="minorHAnsi"/>
              <w:b/>
              <w:color w:val="242C5C"/>
              <w:sz w:val="72"/>
              <w:szCs w:val="72"/>
            </w:rPr>
            <w:t>PRESS RELEASE</w:t>
          </w:r>
        </w:p>
        <w:p w14:paraId="1AA3F4E9" w14:textId="7CF24014" w:rsidR="00F021A3" w:rsidRPr="006F2646" w:rsidRDefault="00F021A3" w:rsidP="004B53B3">
          <w:pPr>
            <w:pStyle w:val="Header"/>
            <w:rPr>
              <w:rFonts w:ascii="Franklin Gothic Book" w:hAnsi="Franklin Gothic Book"/>
              <w:b/>
              <w:sz w:val="32"/>
              <w:szCs w:val="32"/>
            </w:rPr>
          </w:pPr>
        </w:p>
      </w:tc>
    </w:tr>
  </w:tbl>
  <w:p w14:paraId="124E074B" w14:textId="77777777" w:rsidR="00E93D77" w:rsidRDefault="00E93D77" w:rsidP="0036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27941"/>
    <w:multiLevelType w:val="hybridMultilevel"/>
    <w:tmpl w:val="1506D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F6"/>
    <w:rsid w:val="00000CAC"/>
    <w:rsid w:val="0000139D"/>
    <w:rsid w:val="000139DA"/>
    <w:rsid w:val="0002747A"/>
    <w:rsid w:val="00030A5A"/>
    <w:rsid w:val="000606E9"/>
    <w:rsid w:val="00062391"/>
    <w:rsid w:val="00070BD4"/>
    <w:rsid w:val="00070DCA"/>
    <w:rsid w:val="00075302"/>
    <w:rsid w:val="00076AE5"/>
    <w:rsid w:val="00080BB0"/>
    <w:rsid w:val="0008441D"/>
    <w:rsid w:val="0009002F"/>
    <w:rsid w:val="00092D60"/>
    <w:rsid w:val="00095077"/>
    <w:rsid w:val="000A0821"/>
    <w:rsid w:val="000A46F1"/>
    <w:rsid w:val="000B59D8"/>
    <w:rsid w:val="000C08B3"/>
    <w:rsid w:val="000C6A4E"/>
    <w:rsid w:val="000D28BA"/>
    <w:rsid w:val="000D6EFE"/>
    <w:rsid w:val="000D7825"/>
    <w:rsid w:val="000E064D"/>
    <w:rsid w:val="000F2394"/>
    <w:rsid w:val="000F4FB1"/>
    <w:rsid w:val="000F5854"/>
    <w:rsid w:val="000F680F"/>
    <w:rsid w:val="000F765E"/>
    <w:rsid w:val="00103BDE"/>
    <w:rsid w:val="00104890"/>
    <w:rsid w:val="0012085F"/>
    <w:rsid w:val="00122E89"/>
    <w:rsid w:val="00125C19"/>
    <w:rsid w:val="00127286"/>
    <w:rsid w:val="00130AA5"/>
    <w:rsid w:val="001374B2"/>
    <w:rsid w:val="00152CA6"/>
    <w:rsid w:val="00170782"/>
    <w:rsid w:val="00171A77"/>
    <w:rsid w:val="00180F21"/>
    <w:rsid w:val="00181470"/>
    <w:rsid w:val="00181ECA"/>
    <w:rsid w:val="001837D3"/>
    <w:rsid w:val="001846F9"/>
    <w:rsid w:val="00185AE9"/>
    <w:rsid w:val="00190656"/>
    <w:rsid w:val="00193FC8"/>
    <w:rsid w:val="001A16A4"/>
    <w:rsid w:val="001A2A57"/>
    <w:rsid w:val="001A7AA5"/>
    <w:rsid w:val="001D2194"/>
    <w:rsid w:val="001D305F"/>
    <w:rsid w:val="001E7386"/>
    <w:rsid w:val="001F4001"/>
    <w:rsid w:val="001F4B82"/>
    <w:rsid w:val="001F74CD"/>
    <w:rsid w:val="001F77D1"/>
    <w:rsid w:val="001F7AFC"/>
    <w:rsid w:val="00202E59"/>
    <w:rsid w:val="002137C3"/>
    <w:rsid w:val="0021754C"/>
    <w:rsid w:val="00231687"/>
    <w:rsid w:val="00237818"/>
    <w:rsid w:val="002406C5"/>
    <w:rsid w:val="0024122D"/>
    <w:rsid w:val="00246A2C"/>
    <w:rsid w:val="00247041"/>
    <w:rsid w:val="00250C0B"/>
    <w:rsid w:val="0025276E"/>
    <w:rsid w:val="00267F73"/>
    <w:rsid w:val="00276602"/>
    <w:rsid w:val="0027672C"/>
    <w:rsid w:val="00280D4A"/>
    <w:rsid w:val="0029437C"/>
    <w:rsid w:val="002A4498"/>
    <w:rsid w:val="002B2DCA"/>
    <w:rsid w:val="002B40BF"/>
    <w:rsid w:val="002B4BAF"/>
    <w:rsid w:val="002B57FB"/>
    <w:rsid w:val="002E402B"/>
    <w:rsid w:val="002E71C7"/>
    <w:rsid w:val="002F317E"/>
    <w:rsid w:val="002F74AC"/>
    <w:rsid w:val="00320C87"/>
    <w:rsid w:val="003211C0"/>
    <w:rsid w:val="003239A7"/>
    <w:rsid w:val="00333433"/>
    <w:rsid w:val="003362F3"/>
    <w:rsid w:val="003474B2"/>
    <w:rsid w:val="00362234"/>
    <w:rsid w:val="0037205A"/>
    <w:rsid w:val="0037659B"/>
    <w:rsid w:val="00376688"/>
    <w:rsid w:val="003768FF"/>
    <w:rsid w:val="00380443"/>
    <w:rsid w:val="00387E0E"/>
    <w:rsid w:val="0039163E"/>
    <w:rsid w:val="00392829"/>
    <w:rsid w:val="00393E84"/>
    <w:rsid w:val="003A0707"/>
    <w:rsid w:val="003A56D8"/>
    <w:rsid w:val="003B1FAE"/>
    <w:rsid w:val="003B4C09"/>
    <w:rsid w:val="003B7259"/>
    <w:rsid w:val="003C7DF9"/>
    <w:rsid w:val="003D0CCB"/>
    <w:rsid w:val="003D0E1B"/>
    <w:rsid w:val="003D29BE"/>
    <w:rsid w:val="003D7695"/>
    <w:rsid w:val="003E26CF"/>
    <w:rsid w:val="003E4FC1"/>
    <w:rsid w:val="003E53D4"/>
    <w:rsid w:val="003E695D"/>
    <w:rsid w:val="004019B5"/>
    <w:rsid w:val="00412923"/>
    <w:rsid w:val="0042107E"/>
    <w:rsid w:val="00421232"/>
    <w:rsid w:val="00422DF1"/>
    <w:rsid w:val="00435B54"/>
    <w:rsid w:val="004420F5"/>
    <w:rsid w:val="00453DA1"/>
    <w:rsid w:val="004555F3"/>
    <w:rsid w:val="004628FC"/>
    <w:rsid w:val="0046572F"/>
    <w:rsid w:val="004659B6"/>
    <w:rsid w:val="00466F0D"/>
    <w:rsid w:val="00467173"/>
    <w:rsid w:val="004763B1"/>
    <w:rsid w:val="0049364D"/>
    <w:rsid w:val="00494492"/>
    <w:rsid w:val="004A5390"/>
    <w:rsid w:val="004A7F8C"/>
    <w:rsid w:val="004B263E"/>
    <w:rsid w:val="004B53B3"/>
    <w:rsid w:val="004C6195"/>
    <w:rsid w:val="004C6A8A"/>
    <w:rsid w:val="004E0051"/>
    <w:rsid w:val="00505E24"/>
    <w:rsid w:val="00512BC6"/>
    <w:rsid w:val="0052045E"/>
    <w:rsid w:val="005258E0"/>
    <w:rsid w:val="0053554B"/>
    <w:rsid w:val="0053619F"/>
    <w:rsid w:val="00543CE8"/>
    <w:rsid w:val="00555253"/>
    <w:rsid w:val="00556B34"/>
    <w:rsid w:val="0056353F"/>
    <w:rsid w:val="0058048D"/>
    <w:rsid w:val="00580F33"/>
    <w:rsid w:val="00587D0B"/>
    <w:rsid w:val="0059359B"/>
    <w:rsid w:val="005A6BFA"/>
    <w:rsid w:val="005A6D51"/>
    <w:rsid w:val="005B6418"/>
    <w:rsid w:val="005B67C9"/>
    <w:rsid w:val="005C1A8D"/>
    <w:rsid w:val="005C31EC"/>
    <w:rsid w:val="005C359E"/>
    <w:rsid w:val="005C7E54"/>
    <w:rsid w:val="005D14F1"/>
    <w:rsid w:val="005D1538"/>
    <w:rsid w:val="005D42AA"/>
    <w:rsid w:val="005D62CB"/>
    <w:rsid w:val="005E0A17"/>
    <w:rsid w:val="005E4833"/>
    <w:rsid w:val="005F7677"/>
    <w:rsid w:val="0062069B"/>
    <w:rsid w:val="00621C58"/>
    <w:rsid w:val="00621E74"/>
    <w:rsid w:val="00624746"/>
    <w:rsid w:val="00636E3F"/>
    <w:rsid w:val="00640759"/>
    <w:rsid w:val="00644A91"/>
    <w:rsid w:val="00647913"/>
    <w:rsid w:val="00653351"/>
    <w:rsid w:val="00655646"/>
    <w:rsid w:val="0066110D"/>
    <w:rsid w:val="006765D7"/>
    <w:rsid w:val="0068558C"/>
    <w:rsid w:val="006876E5"/>
    <w:rsid w:val="0069613C"/>
    <w:rsid w:val="006A7F43"/>
    <w:rsid w:val="006B62DA"/>
    <w:rsid w:val="006C29A0"/>
    <w:rsid w:val="006C6C54"/>
    <w:rsid w:val="006D2C7B"/>
    <w:rsid w:val="006D5056"/>
    <w:rsid w:val="006D7DBF"/>
    <w:rsid w:val="006E46CB"/>
    <w:rsid w:val="006F2646"/>
    <w:rsid w:val="007014A6"/>
    <w:rsid w:val="00703905"/>
    <w:rsid w:val="00716496"/>
    <w:rsid w:val="00724512"/>
    <w:rsid w:val="00737094"/>
    <w:rsid w:val="0074689A"/>
    <w:rsid w:val="00755870"/>
    <w:rsid w:val="00761107"/>
    <w:rsid w:val="007626C1"/>
    <w:rsid w:val="00764B8A"/>
    <w:rsid w:val="00765808"/>
    <w:rsid w:val="007667D7"/>
    <w:rsid w:val="0076745F"/>
    <w:rsid w:val="00773E7D"/>
    <w:rsid w:val="00782A98"/>
    <w:rsid w:val="00785483"/>
    <w:rsid w:val="00793A05"/>
    <w:rsid w:val="00793FA9"/>
    <w:rsid w:val="00796E35"/>
    <w:rsid w:val="007A5844"/>
    <w:rsid w:val="007B50DB"/>
    <w:rsid w:val="007B74AF"/>
    <w:rsid w:val="007C076C"/>
    <w:rsid w:val="007C1393"/>
    <w:rsid w:val="007C1A41"/>
    <w:rsid w:val="007C43B2"/>
    <w:rsid w:val="007C5540"/>
    <w:rsid w:val="007D1BB3"/>
    <w:rsid w:val="007D257B"/>
    <w:rsid w:val="007D25AC"/>
    <w:rsid w:val="007D31F6"/>
    <w:rsid w:val="007D55C6"/>
    <w:rsid w:val="007E3875"/>
    <w:rsid w:val="007E555C"/>
    <w:rsid w:val="007E6BBB"/>
    <w:rsid w:val="007E6E9F"/>
    <w:rsid w:val="007F1976"/>
    <w:rsid w:val="007F2FCF"/>
    <w:rsid w:val="007F4007"/>
    <w:rsid w:val="007F6170"/>
    <w:rsid w:val="008076CD"/>
    <w:rsid w:val="008136C2"/>
    <w:rsid w:val="00822CD1"/>
    <w:rsid w:val="00824EEC"/>
    <w:rsid w:val="008250C2"/>
    <w:rsid w:val="0083313E"/>
    <w:rsid w:val="00833D7E"/>
    <w:rsid w:val="00845DD1"/>
    <w:rsid w:val="00846234"/>
    <w:rsid w:val="008539D9"/>
    <w:rsid w:val="0087219E"/>
    <w:rsid w:val="0088375F"/>
    <w:rsid w:val="00890C23"/>
    <w:rsid w:val="0089159B"/>
    <w:rsid w:val="0089300D"/>
    <w:rsid w:val="00895C3F"/>
    <w:rsid w:val="00896C25"/>
    <w:rsid w:val="008A1050"/>
    <w:rsid w:val="008A7788"/>
    <w:rsid w:val="008B6A4F"/>
    <w:rsid w:val="008B71E8"/>
    <w:rsid w:val="008C0A5F"/>
    <w:rsid w:val="008C0F6E"/>
    <w:rsid w:val="008C1BA7"/>
    <w:rsid w:val="008D54C7"/>
    <w:rsid w:val="008D61AF"/>
    <w:rsid w:val="008D6E77"/>
    <w:rsid w:val="008E25AD"/>
    <w:rsid w:val="008E30E2"/>
    <w:rsid w:val="008F09B3"/>
    <w:rsid w:val="00903B7C"/>
    <w:rsid w:val="009126B7"/>
    <w:rsid w:val="00912D0E"/>
    <w:rsid w:val="0092051B"/>
    <w:rsid w:val="009242DE"/>
    <w:rsid w:val="009352CB"/>
    <w:rsid w:val="00935D85"/>
    <w:rsid w:val="0095076F"/>
    <w:rsid w:val="0095374D"/>
    <w:rsid w:val="00956B77"/>
    <w:rsid w:val="00957699"/>
    <w:rsid w:val="00960DDF"/>
    <w:rsid w:val="00966C3A"/>
    <w:rsid w:val="00973A9C"/>
    <w:rsid w:val="00977002"/>
    <w:rsid w:val="00980361"/>
    <w:rsid w:val="0098466C"/>
    <w:rsid w:val="00986071"/>
    <w:rsid w:val="009A0C6A"/>
    <w:rsid w:val="009A515F"/>
    <w:rsid w:val="009C043F"/>
    <w:rsid w:val="009C267A"/>
    <w:rsid w:val="009F7155"/>
    <w:rsid w:val="009F7181"/>
    <w:rsid w:val="00A111AA"/>
    <w:rsid w:val="00A2192E"/>
    <w:rsid w:val="00A21BD7"/>
    <w:rsid w:val="00A3167C"/>
    <w:rsid w:val="00A55273"/>
    <w:rsid w:val="00A5545C"/>
    <w:rsid w:val="00A57D12"/>
    <w:rsid w:val="00A624EB"/>
    <w:rsid w:val="00A67E5C"/>
    <w:rsid w:val="00A7291D"/>
    <w:rsid w:val="00A90548"/>
    <w:rsid w:val="00A90580"/>
    <w:rsid w:val="00A9544F"/>
    <w:rsid w:val="00A96EB8"/>
    <w:rsid w:val="00AA28B2"/>
    <w:rsid w:val="00AA3686"/>
    <w:rsid w:val="00AA5EB1"/>
    <w:rsid w:val="00AA67D6"/>
    <w:rsid w:val="00AC4E77"/>
    <w:rsid w:val="00AC6108"/>
    <w:rsid w:val="00AD041B"/>
    <w:rsid w:val="00AD0B4B"/>
    <w:rsid w:val="00AD52CA"/>
    <w:rsid w:val="00AE7B89"/>
    <w:rsid w:val="00AF0560"/>
    <w:rsid w:val="00AF7045"/>
    <w:rsid w:val="00B029D8"/>
    <w:rsid w:val="00B039B2"/>
    <w:rsid w:val="00B10CA9"/>
    <w:rsid w:val="00B27889"/>
    <w:rsid w:val="00B278EE"/>
    <w:rsid w:val="00B31476"/>
    <w:rsid w:val="00B73372"/>
    <w:rsid w:val="00B733E0"/>
    <w:rsid w:val="00B85FA1"/>
    <w:rsid w:val="00B97068"/>
    <w:rsid w:val="00BA3F61"/>
    <w:rsid w:val="00BD2402"/>
    <w:rsid w:val="00BD5D91"/>
    <w:rsid w:val="00BE3060"/>
    <w:rsid w:val="00BF7536"/>
    <w:rsid w:val="00BF7636"/>
    <w:rsid w:val="00C10CDE"/>
    <w:rsid w:val="00C17651"/>
    <w:rsid w:val="00C26C03"/>
    <w:rsid w:val="00C4339C"/>
    <w:rsid w:val="00C53211"/>
    <w:rsid w:val="00C56C11"/>
    <w:rsid w:val="00C61B5A"/>
    <w:rsid w:val="00C64114"/>
    <w:rsid w:val="00C64541"/>
    <w:rsid w:val="00C65309"/>
    <w:rsid w:val="00C67202"/>
    <w:rsid w:val="00C76059"/>
    <w:rsid w:val="00C801A8"/>
    <w:rsid w:val="00C80F8D"/>
    <w:rsid w:val="00C86522"/>
    <w:rsid w:val="00C97C35"/>
    <w:rsid w:val="00CB1C32"/>
    <w:rsid w:val="00CD77F2"/>
    <w:rsid w:val="00CE1134"/>
    <w:rsid w:val="00CE709E"/>
    <w:rsid w:val="00CF2221"/>
    <w:rsid w:val="00CF3DBA"/>
    <w:rsid w:val="00CF41D3"/>
    <w:rsid w:val="00CF7614"/>
    <w:rsid w:val="00D00EB9"/>
    <w:rsid w:val="00D01E26"/>
    <w:rsid w:val="00D0246C"/>
    <w:rsid w:val="00D151CB"/>
    <w:rsid w:val="00D1635E"/>
    <w:rsid w:val="00D16F6B"/>
    <w:rsid w:val="00D2280E"/>
    <w:rsid w:val="00D360F9"/>
    <w:rsid w:val="00D403D3"/>
    <w:rsid w:val="00D504C4"/>
    <w:rsid w:val="00D51B2B"/>
    <w:rsid w:val="00D5288B"/>
    <w:rsid w:val="00D71D4E"/>
    <w:rsid w:val="00D734A9"/>
    <w:rsid w:val="00D74E1D"/>
    <w:rsid w:val="00D7642E"/>
    <w:rsid w:val="00D96127"/>
    <w:rsid w:val="00D9795E"/>
    <w:rsid w:val="00DA1A92"/>
    <w:rsid w:val="00DB010D"/>
    <w:rsid w:val="00DB32F2"/>
    <w:rsid w:val="00DB5A8F"/>
    <w:rsid w:val="00DD1D35"/>
    <w:rsid w:val="00DD2C35"/>
    <w:rsid w:val="00DD46D2"/>
    <w:rsid w:val="00DE2026"/>
    <w:rsid w:val="00E16724"/>
    <w:rsid w:val="00E20634"/>
    <w:rsid w:val="00E312D6"/>
    <w:rsid w:val="00E32B15"/>
    <w:rsid w:val="00E336DF"/>
    <w:rsid w:val="00E34C55"/>
    <w:rsid w:val="00E40D6A"/>
    <w:rsid w:val="00E41C7F"/>
    <w:rsid w:val="00E42ADB"/>
    <w:rsid w:val="00E45281"/>
    <w:rsid w:val="00E53D0F"/>
    <w:rsid w:val="00E77C62"/>
    <w:rsid w:val="00E803E5"/>
    <w:rsid w:val="00E81C13"/>
    <w:rsid w:val="00E85042"/>
    <w:rsid w:val="00E93D77"/>
    <w:rsid w:val="00EA0670"/>
    <w:rsid w:val="00EA4590"/>
    <w:rsid w:val="00EA6B79"/>
    <w:rsid w:val="00EB09CC"/>
    <w:rsid w:val="00EB4776"/>
    <w:rsid w:val="00EB5D67"/>
    <w:rsid w:val="00EC1A3D"/>
    <w:rsid w:val="00ED37D6"/>
    <w:rsid w:val="00ED573C"/>
    <w:rsid w:val="00EE4FC0"/>
    <w:rsid w:val="00EF37B0"/>
    <w:rsid w:val="00EF4534"/>
    <w:rsid w:val="00EF6C82"/>
    <w:rsid w:val="00F021A3"/>
    <w:rsid w:val="00F21AC2"/>
    <w:rsid w:val="00F23549"/>
    <w:rsid w:val="00F2464C"/>
    <w:rsid w:val="00F25319"/>
    <w:rsid w:val="00F25CBA"/>
    <w:rsid w:val="00F31C2A"/>
    <w:rsid w:val="00F40105"/>
    <w:rsid w:val="00F54205"/>
    <w:rsid w:val="00F5503C"/>
    <w:rsid w:val="00F573E7"/>
    <w:rsid w:val="00F71A5A"/>
    <w:rsid w:val="00F850D6"/>
    <w:rsid w:val="00F86FBD"/>
    <w:rsid w:val="00F9429F"/>
    <w:rsid w:val="00FB3C04"/>
    <w:rsid w:val="00FB455E"/>
    <w:rsid w:val="00FB54C7"/>
    <w:rsid w:val="00FD015D"/>
    <w:rsid w:val="00FD073D"/>
    <w:rsid w:val="00FD2EFD"/>
    <w:rsid w:val="00FD441F"/>
    <w:rsid w:val="00FD55E8"/>
    <w:rsid w:val="00FD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A0C8"/>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paragraph" w:customStyle="1" w:styleId="bodytext0">
    <w:name w:val="bodytext"/>
    <w:basedOn w:val="Normal"/>
    <w:rsid w:val="008250C2"/>
    <w:pPr>
      <w:spacing w:after="240" w:line="336" w:lineRule="atLeast"/>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D0B4B"/>
    <w:rPr>
      <w:color w:val="605E5C"/>
      <w:shd w:val="clear" w:color="auto" w:fill="E1DFDD"/>
    </w:rPr>
  </w:style>
  <w:style w:type="paragraph" w:styleId="FootnoteText">
    <w:name w:val="footnote text"/>
    <w:basedOn w:val="Normal"/>
    <w:link w:val="FootnoteTextChar"/>
    <w:uiPriority w:val="99"/>
    <w:semiHidden/>
    <w:unhideWhenUsed/>
    <w:rsid w:val="001F4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B82"/>
    <w:rPr>
      <w:sz w:val="20"/>
      <w:szCs w:val="20"/>
    </w:rPr>
  </w:style>
  <w:style w:type="character" w:styleId="FootnoteReference">
    <w:name w:val="footnote reference"/>
    <w:basedOn w:val="DefaultParagraphFont"/>
    <w:uiPriority w:val="99"/>
    <w:semiHidden/>
    <w:unhideWhenUsed/>
    <w:rsid w:val="001F4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4373">
      <w:bodyDiv w:val="1"/>
      <w:marLeft w:val="0"/>
      <w:marRight w:val="0"/>
      <w:marTop w:val="0"/>
      <w:marBottom w:val="0"/>
      <w:divBdr>
        <w:top w:val="none" w:sz="0" w:space="0" w:color="auto"/>
        <w:left w:val="none" w:sz="0" w:space="0" w:color="auto"/>
        <w:bottom w:val="none" w:sz="0" w:space="0" w:color="auto"/>
        <w:right w:val="none" w:sz="0" w:space="0" w:color="auto"/>
      </w:divBdr>
    </w:div>
    <w:div w:id="102726620">
      <w:bodyDiv w:val="1"/>
      <w:marLeft w:val="0"/>
      <w:marRight w:val="0"/>
      <w:marTop w:val="0"/>
      <w:marBottom w:val="0"/>
      <w:divBdr>
        <w:top w:val="none" w:sz="0" w:space="0" w:color="auto"/>
        <w:left w:val="none" w:sz="0" w:space="0" w:color="auto"/>
        <w:bottom w:val="none" w:sz="0" w:space="0" w:color="auto"/>
        <w:right w:val="none" w:sz="0" w:space="0" w:color="auto"/>
      </w:divBdr>
      <w:divsChild>
        <w:div w:id="1409768171">
          <w:marLeft w:val="0"/>
          <w:marRight w:val="0"/>
          <w:marTop w:val="0"/>
          <w:marBottom w:val="0"/>
          <w:divBdr>
            <w:top w:val="none" w:sz="0" w:space="0" w:color="auto"/>
            <w:left w:val="none" w:sz="0" w:space="0" w:color="auto"/>
            <w:bottom w:val="none" w:sz="0" w:space="0" w:color="auto"/>
            <w:right w:val="none" w:sz="0" w:space="0" w:color="auto"/>
          </w:divBdr>
          <w:divsChild>
            <w:div w:id="1394886700">
              <w:marLeft w:val="0"/>
              <w:marRight w:val="0"/>
              <w:marTop w:val="0"/>
              <w:marBottom w:val="0"/>
              <w:divBdr>
                <w:top w:val="none" w:sz="0" w:space="0" w:color="auto"/>
                <w:left w:val="none" w:sz="0" w:space="0" w:color="auto"/>
                <w:bottom w:val="none" w:sz="0" w:space="0" w:color="auto"/>
                <w:right w:val="none" w:sz="0" w:space="0" w:color="auto"/>
              </w:divBdr>
              <w:divsChild>
                <w:div w:id="1236432042">
                  <w:marLeft w:val="0"/>
                  <w:marRight w:val="0"/>
                  <w:marTop w:val="0"/>
                  <w:marBottom w:val="0"/>
                  <w:divBdr>
                    <w:top w:val="none" w:sz="0" w:space="0" w:color="auto"/>
                    <w:left w:val="none" w:sz="0" w:space="0" w:color="auto"/>
                    <w:bottom w:val="none" w:sz="0" w:space="0" w:color="auto"/>
                    <w:right w:val="none" w:sz="0" w:space="0" w:color="auto"/>
                  </w:divBdr>
                  <w:divsChild>
                    <w:div w:id="23407134">
                      <w:marLeft w:val="0"/>
                      <w:marRight w:val="0"/>
                      <w:marTop w:val="0"/>
                      <w:marBottom w:val="0"/>
                      <w:divBdr>
                        <w:top w:val="none" w:sz="0" w:space="0" w:color="auto"/>
                        <w:left w:val="none" w:sz="0" w:space="0" w:color="auto"/>
                        <w:bottom w:val="none" w:sz="0" w:space="0" w:color="auto"/>
                        <w:right w:val="none" w:sz="0" w:space="0" w:color="auto"/>
                      </w:divBdr>
                      <w:divsChild>
                        <w:div w:id="2047363444">
                          <w:marLeft w:val="0"/>
                          <w:marRight w:val="0"/>
                          <w:marTop w:val="0"/>
                          <w:marBottom w:val="0"/>
                          <w:divBdr>
                            <w:top w:val="none" w:sz="0" w:space="0" w:color="auto"/>
                            <w:left w:val="none" w:sz="0" w:space="0" w:color="auto"/>
                            <w:bottom w:val="none" w:sz="0" w:space="0" w:color="auto"/>
                            <w:right w:val="none" w:sz="0" w:space="0" w:color="auto"/>
                          </w:divBdr>
                          <w:divsChild>
                            <w:div w:id="383719916">
                              <w:marLeft w:val="0"/>
                              <w:marRight w:val="0"/>
                              <w:marTop w:val="0"/>
                              <w:marBottom w:val="0"/>
                              <w:divBdr>
                                <w:top w:val="none" w:sz="0" w:space="0" w:color="auto"/>
                                <w:left w:val="none" w:sz="0" w:space="0" w:color="auto"/>
                                <w:bottom w:val="none" w:sz="0" w:space="0" w:color="auto"/>
                                <w:right w:val="none" w:sz="0" w:space="0" w:color="auto"/>
                              </w:divBdr>
                              <w:divsChild>
                                <w:div w:id="990867211">
                                  <w:marLeft w:val="0"/>
                                  <w:marRight w:val="0"/>
                                  <w:marTop w:val="0"/>
                                  <w:marBottom w:val="0"/>
                                  <w:divBdr>
                                    <w:top w:val="none" w:sz="0" w:space="0" w:color="auto"/>
                                    <w:left w:val="none" w:sz="0" w:space="0" w:color="auto"/>
                                    <w:bottom w:val="none" w:sz="0" w:space="0" w:color="auto"/>
                                    <w:right w:val="none" w:sz="0" w:space="0" w:color="auto"/>
                                  </w:divBdr>
                                  <w:divsChild>
                                    <w:div w:id="1185823469">
                                      <w:marLeft w:val="0"/>
                                      <w:marRight w:val="0"/>
                                      <w:marTop w:val="0"/>
                                      <w:marBottom w:val="0"/>
                                      <w:divBdr>
                                        <w:top w:val="none" w:sz="0" w:space="0" w:color="auto"/>
                                        <w:left w:val="none" w:sz="0" w:space="0" w:color="auto"/>
                                        <w:bottom w:val="none" w:sz="0" w:space="0" w:color="auto"/>
                                        <w:right w:val="none" w:sz="0" w:space="0" w:color="auto"/>
                                      </w:divBdr>
                                      <w:divsChild>
                                        <w:div w:id="172770771">
                                          <w:marLeft w:val="0"/>
                                          <w:marRight w:val="0"/>
                                          <w:marTop w:val="0"/>
                                          <w:marBottom w:val="0"/>
                                          <w:divBdr>
                                            <w:top w:val="none" w:sz="0" w:space="0" w:color="auto"/>
                                            <w:left w:val="none" w:sz="0" w:space="0" w:color="auto"/>
                                            <w:bottom w:val="none" w:sz="0" w:space="0" w:color="auto"/>
                                            <w:right w:val="none" w:sz="0" w:space="0" w:color="auto"/>
                                          </w:divBdr>
                                          <w:divsChild>
                                            <w:div w:id="997810587">
                                              <w:marLeft w:val="0"/>
                                              <w:marRight w:val="0"/>
                                              <w:marTop w:val="0"/>
                                              <w:marBottom w:val="0"/>
                                              <w:divBdr>
                                                <w:top w:val="none" w:sz="0" w:space="0" w:color="auto"/>
                                                <w:left w:val="none" w:sz="0" w:space="0" w:color="auto"/>
                                                <w:bottom w:val="none" w:sz="0" w:space="0" w:color="auto"/>
                                                <w:right w:val="none" w:sz="0" w:space="0" w:color="auto"/>
                                              </w:divBdr>
                                              <w:divsChild>
                                                <w:div w:id="119038010">
                                                  <w:marLeft w:val="0"/>
                                                  <w:marRight w:val="0"/>
                                                  <w:marTop w:val="0"/>
                                                  <w:marBottom w:val="0"/>
                                                  <w:divBdr>
                                                    <w:top w:val="none" w:sz="0" w:space="0" w:color="auto"/>
                                                    <w:left w:val="none" w:sz="0" w:space="0" w:color="auto"/>
                                                    <w:bottom w:val="none" w:sz="0" w:space="0" w:color="auto"/>
                                                    <w:right w:val="none" w:sz="0" w:space="0" w:color="auto"/>
                                                  </w:divBdr>
                                                  <w:divsChild>
                                                    <w:div w:id="960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31613">
      <w:bodyDiv w:val="1"/>
      <w:marLeft w:val="0"/>
      <w:marRight w:val="0"/>
      <w:marTop w:val="0"/>
      <w:marBottom w:val="0"/>
      <w:divBdr>
        <w:top w:val="none" w:sz="0" w:space="0" w:color="auto"/>
        <w:left w:val="none" w:sz="0" w:space="0" w:color="auto"/>
        <w:bottom w:val="none" w:sz="0" w:space="0" w:color="auto"/>
        <w:right w:val="none" w:sz="0" w:space="0" w:color="auto"/>
      </w:divBdr>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opf.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opf.org" TargetMode="External"/><Relationship Id="rId4" Type="http://schemas.openxmlformats.org/officeDocument/2006/relationships/settings" Target="settings.xml"/><Relationship Id="rId9" Type="http://schemas.openxmlformats.org/officeDocument/2006/relationships/hyperlink" Target="http://www.itopf.org/knowledge-resources/data-statistics/statistic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ctad.org/webflyer/review-maritime-transport-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FBDA-A9D0-4F02-872D-4AA92B68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Susannah Musk</dc:creator>
  <cp:lastModifiedBy>Deborah McKendrick</cp:lastModifiedBy>
  <cp:revision>11</cp:revision>
  <cp:lastPrinted>2020-01-10T09:12:00Z</cp:lastPrinted>
  <dcterms:created xsi:type="dcterms:W3CDTF">2022-01-12T11:20:00Z</dcterms:created>
  <dcterms:modified xsi:type="dcterms:W3CDTF">2022-01-13T08:53:00Z</dcterms:modified>
</cp:coreProperties>
</file>